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37" w:rsidRPr="005F5737" w:rsidRDefault="005F5737" w:rsidP="005F5737">
      <w:pPr>
        <w:rPr>
          <w:rFonts w:ascii="Times New Roman" w:hAnsi="Times New Roman"/>
          <w:sz w:val="24"/>
          <w:szCs w:val="24"/>
          <w:shd w:val="clear" w:color="auto" w:fill="FDFCFA"/>
        </w:rPr>
      </w:pPr>
      <w:r w:rsidRPr="005F5737">
        <w:rPr>
          <w:rFonts w:ascii="Times New Roman" w:hAnsi="Times New Roman"/>
          <w:sz w:val="24"/>
          <w:szCs w:val="24"/>
          <w:shd w:val="clear" w:color="auto" w:fill="FDFCFA"/>
        </w:rPr>
        <w:t xml:space="preserve">УДК </w:t>
      </w:r>
      <w:r w:rsidR="003F32D7">
        <w:rPr>
          <w:rFonts w:ascii="Times New Roman" w:hAnsi="Times New Roman"/>
          <w:sz w:val="24"/>
          <w:szCs w:val="24"/>
          <w:shd w:val="clear" w:color="auto" w:fill="FDFCFA"/>
        </w:rPr>
        <w:t>004</w:t>
      </w:r>
      <w:r w:rsidRPr="005F5737">
        <w:rPr>
          <w:rFonts w:ascii="Times New Roman" w:hAnsi="Times New Roman"/>
          <w:sz w:val="24"/>
          <w:szCs w:val="24"/>
          <w:shd w:val="clear" w:color="auto" w:fill="FDFCFA"/>
        </w:rPr>
        <w:t>.03</w:t>
      </w:r>
      <w:r w:rsidR="003F32D7">
        <w:rPr>
          <w:rFonts w:ascii="Times New Roman" w:hAnsi="Times New Roman"/>
          <w:sz w:val="24"/>
          <w:szCs w:val="24"/>
          <w:shd w:val="clear" w:color="auto" w:fill="FDFCFA"/>
        </w:rPr>
        <w:t>2</w:t>
      </w:r>
    </w:p>
    <w:p w:rsidR="00B068C8" w:rsidRDefault="00B068C8" w:rsidP="00977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8C8">
        <w:rPr>
          <w:rFonts w:ascii="Times New Roman" w:hAnsi="Times New Roman"/>
          <w:sz w:val="24"/>
          <w:szCs w:val="24"/>
        </w:rPr>
        <w:t>А.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68C8">
        <w:rPr>
          <w:rFonts w:ascii="Times New Roman" w:hAnsi="Times New Roman"/>
          <w:sz w:val="24"/>
          <w:szCs w:val="24"/>
        </w:rPr>
        <w:t>КУДИНОВА,  Н.Н.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068C8">
        <w:rPr>
          <w:rFonts w:ascii="Times New Roman" w:hAnsi="Times New Roman"/>
          <w:sz w:val="24"/>
          <w:szCs w:val="24"/>
        </w:rPr>
        <w:t xml:space="preserve">ГАХОВА </w:t>
      </w:r>
    </w:p>
    <w:p w:rsidR="00B068C8" w:rsidRDefault="000F362B" w:rsidP="00977A6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DFCFA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A</w:t>
      </w:r>
      <w:r w:rsidRPr="00977A65"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N</w:t>
      </w:r>
      <w:r w:rsidRPr="00977A65">
        <w:rPr>
          <w:rFonts w:ascii="Times New Roman" w:hAnsi="Times New Roman"/>
          <w:sz w:val="24"/>
          <w:szCs w:val="24"/>
          <w:shd w:val="clear" w:color="auto" w:fill="FDFCFA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KUDINOVA</w:t>
      </w:r>
      <w:r w:rsidRPr="00977A65">
        <w:rPr>
          <w:rFonts w:ascii="Times New Roman" w:hAnsi="Times New Roman"/>
          <w:sz w:val="24"/>
          <w:szCs w:val="24"/>
          <w:shd w:val="clear" w:color="auto" w:fill="FDFCFA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N</w:t>
      </w:r>
      <w:r w:rsidRPr="00977A65"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N</w:t>
      </w:r>
      <w:r w:rsidRPr="00977A65">
        <w:rPr>
          <w:rFonts w:ascii="Times New Roman" w:hAnsi="Times New Roman"/>
          <w:sz w:val="24"/>
          <w:szCs w:val="24"/>
          <w:shd w:val="clear" w:color="auto" w:fill="FDFCFA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DFCFA"/>
          <w:lang w:val="en-US"/>
        </w:rPr>
        <w:t xml:space="preserve"> GAKHOVA</w:t>
      </w:r>
      <w:r w:rsidRPr="00977A65">
        <w:rPr>
          <w:rFonts w:ascii="Times New Roman" w:hAnsi="Times New Roman"/>
          <w:sz w:val="24"/>
          <w:szCs w:val="24"/>
          <w:shd w:val="clear" w:color="auto" w:fill="FDFCFA"/>
          <w:lang w:val="en-US"/>
        </w:rPr>
        <w:t xml:space="preserve"> </w:t>
      </w:r>
    </w:p>
    <w:p w:rsidR="00977A65" w:rsidRPr="00977A65" w:rsidRDefault="00977A65" w:rsidP="00977A6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DFCFA"/>
          <w:lang w:val="en-US"/>
        </w:rPr>
      </w:pPr>
    </w:p>
    <w:p w:rsidR="005800E8" w:rsidRDefault="005800E8" w:rsidP="00670FC1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DFCFA"/>
        </w:rPr>
      </w:pPr>
      <w:r w:rsidRPr="00D94209">
        <w:rPr>
          <w:rFonts w:ascii="Times New Roman" w:hAnsi="Times New Roman"/>
          <w:b/>
          <w:sz w:val="24"/>
          <w:szCs w:val="24"/>
          <w:shd w:val="clear" w:color="auto" w:fill="FDFCFA"/>
        </w:rPr>
        <w:t xml:space="preserve">ОПТИМИЗАЦИЯ ПРОЦЕССА ВЫБОРА ПОСТАВЩИКА МАТЕРИАЛЬНО-ТЕХНИЧЕСКИХ РЕСУРСОВ </w:t>
      </w:r>
      <w:r w:rsidR="00D67033">
        <w:rPr>
          <w:rFonts w:ascii="Times New Roman" w:hAnsi="Times New Roman"/>
          <w:b/>
          <w:sz w:val="24"/>
          <w:szCs w:val="24"/>
          <w:shd w:val="clear" w:color="auto" w:fill="FDFCFA"/>
        </w:rPr>
        <w:t>ДЛЯ СТРОИТЕЛЬНЫХ КОМПАНИЙ</w:t>
      </w:r>
    </w:p>
    <w:p w:rsidR="00BE111A" w:rsidRDefault="00CA5863" w:rsidP="00670FC1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DFCFA"/>
          <w:lang w:val="en-US"/>
        </w:rPr>
      </w:pPr>
      <w:r w:rsidRPr="00CA5863">
        <w:rPr>
          <w:rFonts w:ascii="Times New Roman" w:hAnsi="Times New Roman"/>
          <w:b/>
          <w:sz w:val="24"/>
          <w:szCs w:val="24"/>
          <w:shd w:val="clear" w:color="auto" w:fill="FDFCFA"/>
          <w:lang w:val="en-US"/>
        </w:rPr>
        <w:t>OPTIMIZATION OF THE PROCESS OF SELECTING THE SUPPLIER OF MATERIAL AND TECHNICAL RESOURCES FOR CONSTRUCTION COMPANIES</w:t>
      </w:r>
    </w:p>
    <w:p w:rsidR="00C2260D" w:rsidRPr="00CA5863" w:rsidRDefault="00C2260D" w:rsidP="00670FC1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DFCFA"/>
          <w:lang w:val="en-US"/>
        </w:rPr>
      </w:pPr>
    </w:p>
    <w:p w:rsidR="005B39E1" w:rsidRDefault="005B39E1" w:rsidP="007A397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B2453">
        <w:rPr>
          <w:rFonts w:ascii="Times New Roman" w:hAnsi="Times New Roman"/>
          <w:i/>
          <w:sz w:val="20"/>
          <w:szCs w:val="20"/>
        </w:rPr>
        <w:t xml:space="preserve">В статье рассмотрена задача </w:t>
      </w:r>
      <w:r w:rsidR="003F4B8F" w:rsidRPr="001B2453">
        <w:rPr>
          <w:rFonts w:ascii="Times New Roman" w:hAnsi="Times New Roman"/>
          <w:i/>
          <w:sz w:val="20"/>
          <w:szCs w:val="20"/>
        </w:rPr>
        <w:t>моделирования</w:t>
      </w:r>
      <w:r w:rsidRPr="001B2453">
        <w:rPr>
          <w:rFonts w:ascii="Times New Roman" w:hAnsi="Times New Roman"/>
          <w:i/>
          <w:sz w:val="20"/>
          <w:szCs w:val="20"/>
        </w:rPr>
        <w:t xml:space="preserve"> процесса выбора поставщика материально-технических ресурсов для строительных компаний. Выполнен анализ </w:t>
      </w:r>
      <w:r w:rsidR="003F4B8F" w:rsidRPr="001B2453">
        <w:rPr>
          <w:rFonts w:ascii="Times New Roman" w:hAnsi="Times New Roman"/>
          <w:i/>
          <w:sz w:val="20"/>
          <w:szCs w:val="20"/>
        </w:rPr>
        <w:t>используемых</w:t>
      </w:r>
      <w:r w:rsidRPr="001B2453">
        <w:rPr>
          <w:rFonts w:ascii="Times New Roman" w:hAnsi="Times New Roman"/>
          <w:i/>
          <w:sz w:val="20"/>
          <w:szCs w:val="20"/>
        </w:rPr>
        <w:t xml:space="preserve"> </w:t>
      </w:r>
      <w:r w:rsidR="003F4B8F" w:rsidRPr="001B2453">
        <w:rPr>
          <w:rFonts w:ascii="Times New Roman" w:hAnsi="Times New Roman"/>
          <w:i/>
          <w:sz w:val="20"/>
          <w:szCs w:val="20"/>
        </w:rPr>
        <w:t xml:space="preserve">методов решения этой задачи и выявлены их недостатки. </w:t>
      </w:r>
      <w:r w:rsidR="001B2453" w:rsidRPr="001B2453">
        <w:rPr>
          <w:rFonts w:ascii="Times New Roman" w:hAnsi="Times New Roman"/>
          <w:i/>
          <w:sz w:val="20"/>
          <w:szCs w:val="20"/>
        </w:rPr>
        <w:t>С использованием метода анализа иерархий была разработана модель выбора поставщиков ресурсов и о</w:t>
      </w:r>
      <w:r w:rsidR="003F4B8F" w:rsidRPr="001B2453">
        <w:rPr>
          <w:rFonts w:ascii="Times New Roman" w:hAnsi="Times New Roman"/>
          <w:i/>
          <w:sz w:val="20"/>
          <w:szCs w:val="20"/>
        </w:rPr>
        <w:t xml:space="preserve">писана оптимизация </w:t>
      </w:r>
      <w:r w:rsidR="001B2453" w:rsidRPr="001B2453">
        <w:rPr>
          <w:rFonts w:ascii="Times New Roman" w:hAnsi="Times New Roman"/>
          <w:i/>
          <w:sz w:val="20"/>
          <w:szCs w:val="20"/>
        </w:rPr>
        <w:t xml:space="preserve">процесса </w:t>
      </w:r>
      <w:r w:rsidR="003F4B8F" w:rsidRPr="001B2453">
        <w:rPr>
          <w:rFonts w:ascii="Times New Roman" w:hAnsi="Times New Roman"/>
          <w:i/>
          <w:sz w:val="20"/>
          <w:szCs w:val="20"/>
        </w:rPr>
        <w:t>при выборе поставщика железобетонных изделий на примере компании ООО «Строй-М».</w:t>
      </w:r>
    </w:p>
    <w:p w:rsidR="00DC7B2C" w:rsidRDefault="00DC7B2C" w:rsidP="007560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Ключевые слова: </w:t>
      </w:r>
      <w:r w:rsidR="00C2260D">
        <w:rPr>
          <w:rFonts w:ascii="Times New Roman" w:hAnsi="Times New Roman"/>
          <w:i/>
          <w:sz w:val="20"/>
          <w:szCs w:val="20"/>
        </w:rPr>
        <w:t xml:space="preserve">строительная компания, </w:t>
      </w:r>
      <w:r w:rsidRPr="00DC7B2C">
        <w:rPr>
          <w:rFonts w:ascii="Times New Roman" w:hAnsi="Times New Roman"/>
          <w:i/>
          <w:sz w:val="20"/>
          <w:szCs w:val="20"/>
        </w:rPr>
        <w:t>поставщик</w:t>
      </w:r>
      <w:r w:rsidR="00C2260D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DC7B2C">
        <w:rPr>
          <w:rFonts w:ascii="Times New Roman" w:hAnsi="Times New Roman"/>
          <w:i/>
          <w:sz w:val="20"/>
          <w:szCs w:val="20"/>
        </w:rPr>
        <w:t>метод доминирующих характеристик</w:t>
      </w:r>
      <w:r>
        <w:rPr>
          <w:rFonts w:ascii="Times New Roman" w:hAnsi="Times New Roman"/>
          <w:i/>
          <w:sz w:val="20"/>
          <w:szCs w:val="20"/>
        </w:rPr>
        <w:t>,</w:t>
      </w:r>
      <w:r w:rsidRPr="00DC7B2C">
        <w:t xml:space="preserve"> </w:t>
      </w:r>
      <w:r w:rsidRPr="00DC7B2C">
        <w:rPr>
          <w:rFonts w:ascii="Times New Roman" w:hAnsi="Times New Roman"/>
          <w:i/>
          <w:sz w:val="20"/>
          <w:szCs w:val="20"/>
        </w:rPr>
        <w:t>метод оценки затрат, метод рейтинговых оценок</w:t>
      </w:r>
      <w:r>
        <w:rPr>
          <w:rFonts w:ascii="Times New Roman" w:hAnsi="Times New Roman"/>
          <w:i/>
          <w:sz w:val="20"/>
          <w:szCs w:val="20"/>
        </w:rPr>
        <w:t>,</w:t>
      </w:r>
      <w:r w:rsidRPr="00DC7B2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метод анализа иерархий, </w:t>
      </w:r>
      <w:r w:rsidR="00DE3965" w:rsidRPr="00DE3965">
        <w:rPr>
          <w:rFonts w:ascii="Times New Roman" w:hAnsi="Times New Roman"/>
          <w:i/>
          <w:sz w:val="20"/>
          <w:szCs w:val="20"/>
        </w:rPr>
        <w:t>векторы приоритетов</w:t>
      </w:r>
      <w:r w:rsidR="00DE3965">
        <w:rPr>
          <w:rFonts w:ascii="Times New Roman" w:hAnsi="Times New Roman"/>
          <w:i/>
          <w:sz w:val="20"/>
          <w:szCs w:val="20"/>
        </w:rPr>
        <w:t>,</w:t>
      </w:r>
      <w:r w:rsidR="00DE3965" w:rsidRPr="00DE3965">
        <w:rPr>
          <w:rFonts w:ascii="Times New Roman" w:hAnsi="Times New Roman"/>
          <w:i/>
          <w:sz w:val="20"/>
          <w:szCs w:val="20"/>
        </w:rPr>
        <w:t xml:space="preserve"> отношение согласованности</w:t>
      </w:r>
      <w:r w:rsidR="001E382A">
        <w:rPr>
          <w:rFonts w:ascii="Times New Roman" w:hAnsi="Times New Roman"/>
          <w:i/>
          <w:sz w:val="20"/>
          <w:szCs w:val="20"/>
        </w:rPr>
        <w:t>, оптимальный выбор</w:t>
      </w:r>
      <w:r w:rsidR="00C2260D">
        <w:rPr>
          <w:rFonts w:ascii="Times New Roman" w:hAnsi="Times New Roman"/>
          <w:i/>
          <w:sz w:val="20"/>
          <w:szCs w:val="20"/>
        </w:rPr>
        <w:t xml:space="preserve"> поставщиков</w:t>
      </w:r>
      <w:r w:rsidR="007560EF">
        <w:rPr>
          <w:rFonts w:ascii="Times New Roman" w:hAnsi="Times New Roman"/>
          <w:i/>
          <w:sz w:val="20"/>
          <w:szCs w:val="20"/>
        </w:rPr>
        <w:t>.</w:t>
      </w:r>
    </w:p>
    <w:p w:rsidR="007560EF" w:rsidRPr="001B2453" w:rsidRDefault="007560EF" w:rsidP="007560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5C52" w:rsidRDefault="007560EF" w:rsidP="007560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7560EF">
        <w:rPr>
          <w:rFonts w:ascii="Times New Roman" w:hAnsi="Times New Roman"/>
          <w:i/>
          <w:sz w:val="20"/>
          <w:szCs w:val="20"/>
          <w:lang w:val="en-US"/>
        </w:rPr>
        <w:t xml:space="preserve">The article considers the task of modeling the process of selecting a provider of material and technical resources for construction companies. The analysis of the methods used to solve this problem </w:t>
      </w:r>
      <w:proofErr w:type="gramStart"/>
      <w:r w:rsidRPr="007560EF">
        <w:rPr>
          <w:rFonts w:ascii="Times New Roman" w:hAnsi="Times New Roman"/>
          <w:i/>
          <w:sz w:val="20"/>
          <w:szCs w:val="20"/>
          <w:lang w:val="en-US"/>
        </w:rPr>
        <w:t>is performed</w:t>
      </w:r>
      <w:proofErr w:type="gramEnd"/>
      <w:r w:rsidRPr="007560EF">
        <w:rPr>
          <w:rFonts w:ascii="Times New Roman" w:hAnsi="Times New Roman"/>
          <w:i/>
          <w:sz w:val="20"/>
          <w:szCs w:val="20"/>
          <w:lang w:val="en-US"/>
        </w:rPr>
        <w:t xml:space="preserve"> and their shortcomings are revealed. Using the hierarchy analysis method, a model for selecting resource suppliers </w:t>
      </w:r>
      <w:proofErr w:type="gramStart"/>
      <w:r w:rsidRPr="007560EF">
        <w:rPr>
          <w:rFonts w:ascii="Times New Roman" w:hAnsi="Times New Roman"/>
          <w:i/>
          <w:sz w:val="20"/>
          <w:szCs w:val="20"/>
          <w:lang w:val="en-US"/>
        </w:rPr>
        <w:t>was developed</w:t>
      </w:r>
      <w:proofErr w:type="gramEnd"/>
      <w:r w:rsidRPr="007560EF">
        <w:rPr>
          <w:rFonts w:ascii="Times New Roman" w:hAnsi="Times New Roman"/>
          <w:i/>
          <w:sz w:val="20"/>
          <w:szCs w:val="20"/>
          <w:lang w:val="en-US"/>
        </w:rPr>
        <w:t xml:space="preserve"> and optimization of the process in selecting a supplier of reinforced concrete products was described using the example of OOO </w:t>
      </w:r>
      <w:proofErr w:type="spellStart"/>
      <w:r w:rsidRPr="007560EF">
        <w:rPr>
          <w:rFonts w:ascii="Times New Roman" w:hAnsi="Times New Roman"/>
          <w:i/>
          <w:sz w:val="20"/>
          <w:szCs w:val="20"/>
          <w:lang w:val="en-US"/>
        </w:rPr>
        <w:t>Stroy</w:t>
      </w:r>
      <w:proofErr w:type="spellEnd"/>
      <w:r w:rsidRPr="007560EF">
        <w:rPr>
          <w:rFonts w:ascii="Times New Roman" w:hAnsi="Times New Roman"/>
          <w:i/>
          <w:sz w:val="20"/>
          <w:szCs w:val="20"/>
          <w:lang w:val="en-US"/>
        </w:rPr>
        <w:t>-M.</w:t>
      </w:r>
    </w:p>
    <w:p w:rsidR="007560EF" w:rsidRPr="007560EF" w:rsidRDefault="007560EF" w:rsidP="007560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7560EF">
        <w:rPr>
          <w:rFonts w:ascii="Times New Roman" w:hAnsi="Times New Roman"/>
          <w:i/>
          <w:sz w:val="20"/>
          <w:szCs w:val="20"/>
          <w:lang w:val="en-US"/>
        </w:rPr>
        <w:t>Keywords: construction company, suppliers, method of dominant characteristics, method of cost estimation, method of rating evaluations, hierarchy analysis method, priority vectors, consistency relation, optimal choice of suppliers.</w:t>
      </w:r>
    </w:p>
    <w:p w:rsidR="007560EF" w:rsidRDefault="007560EF" w:rsidP="007560EF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5800E8" w:rsidRPr="00A85B4B" w:rsidRDefault="005800E8" w:rsidP="005800E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Строительная компания представляет собой сложную структуру различных взаимосвязанных подразделений, как участвующих непосредственно в строительстве, так и обеспечивающие эти подразделения технической документацией и материалами. </w:t>
      </w:r>
    </w:p>
    <w:p w:rsidR="005800E8" w:rsidRDefault="005800E8" w:rsidP="005800E8">
      <w:pPr>
        <w:pStyle w:val="15"/>
        <w:spacing w:after="0"/>
        <w:contextualSpacing/>
      </w:pPr>
      <w:r>
        <w:t>Одной из основных задач в строительной организации является бесперебойное обеспечение  материалами строительных площадок, так как нехватка материалов или их несвоевременная поставка может привести к приостановке строительных работ, задержке сроков строительства и в связи с этим, дополнительных затрат на выплату неустоек. Эта задача подразумевает собой выбор поставщика необходимых материалов и последующую их закупку.</w:t>
      </w:r>
    </w:p>
    <w:p w:rsidR="005800E8" w:rsidRDefault="005800E8" w:rsidP="005800E8">
      <w:pPr>
        <w:pStyle w:val="15"/>
        <w:spacing w:after="0"/>
        <w:contextualSpacing/>
      </w:pPr>
      <w:r>
        <w:t xml:space="preserve">Самый простой способ выбора поставщика </w:t>
      </w:r>
      <w:r w:rsidR="00D10D13">
        <w:t>–</w:t>
      </w:r>
      <w:r>
        <w:t xml:space="preserve"> метод доминирующих характеристик. Например, выбор контрагента по минимальной стоимости заказа. Недостаток метода заключается в полном игнорировании других критериев отбора (срок поставки, качество материалов и др.), поэтому не является оптимальным. </w:t>
      </w:r>
    </w:p>
    <w:p w:rsidR="005800E8" w:rsidRDefault="005800E8" w:rsidP="005800E8">
      <w:pPr>
        <w:pStyle w:val="15"/>
        <w:spacing w:after="0"/>
        <w:contextualSpacing/>
      </w:pPr>
      <w:r>
        <w:t>Помимо метода доминирующих характеристик существуют также такие распространенные методы, как метод оценки затрат, метод рейтинговых оценок и метод анализа иерархий.</w:t>
      </w:r>
    </w:p>
    <w:p w:rsidR="005800E8" w:rsidRDefault="005800E8" w:rsidP="005800E8">
      <w:pPr>
        <w:pStyle w:val="15"/>
        <w:spacing w:after="0"/>
        <w:contextualSpacing/>
      </w:pPr>
      <w:r>
        <w:t>Метод оценки затрат подразумевает несколько вариантов исхода процесса выбора поставщика, после чего для каждого варианта производится расчет доходов и расходов. После всех расчетов выбирается наиболее выгодный вариант по критерию общей прибыли, в том числе и логистические издержки. Данный метод предназначен для оценки поставщиков с точки зрения общей стоимости сотрудничества. К недостаткам данного метода можно отнести необходимость обработки и анализа большого объема информации о поставщиках [</w:t>
      </w:r>
      <w:r w:rsidRPr="00DB21D3">
        <w:t>1</w:t>
      </w:r>
      <w:r>
        <w:t>].</w:t>
      </w:r>
    </w:p>
    <w:p w:rsidR="005800E8" w:rsidRDefault="005800E8" w:rsidP="005800E8">
      <w:pPr>
        <w:pStyle w:val="15"/>
        <w:spacing w:after="0"/>
        <w:contextualSpacing/>
      </w:pPr>
      <w:r>
        <w:t xml:space="preserve">При использовании метода рейтинговых оценок сначала выбираются критерии, по которым будет оцениваться деятельность поставщика, после чего эксперты определяют </w:t>
      </w:r>
      <w:r w:rsidR="00C75C52">
        <w:t xml:space="preserve">  степень </w:t>
      </w:r>
      <w:r>
        <w:t>важност</w:t>
      </w:r>
      <w:r w:rsidR="00C75C52">
        <w:t>и каждого из них</w:t>
      </w:r>
      <w:r>
        <w:t xml:space="preserve">, эта оценка и определит удельный вес критерия. Далее для каждого контрагента выставляются оценки по критериям, которые перемножаются на удельные веса каждого из критериев и суммируются. Полученная сумма и является </w:t>
      </w:r>
      <w:r>
        <w:lastRenderedPageBreak/>
        <w:t>рейтингом поставщика. Оптимальным является контрагент с наибольшим рейтингом.</w:t>
      </w:r>
      <w:r w:rsidRPr="00736ADE">
        <w:t xml:space="preserve"> К недостаткам данного метода можно отнести</w:t>
      </w:r>
      <w:r>
        <w:t xml:space="preserve"> тот факт, что трудно получить объективные данные для работы экспертов при обращении к потенциальным поставщикам </w:t>
      </w:r>
      <w:r w:rsidRPr="00DB21D3">
        <w:t>[2]</w:t>
      </w:r>
      <w:r>
        <w:t>.</w:t>
      </w:r>
    </w:p>
    <w:p w:rsidR="005800E8" w:rsidRDefault="005800E8" w:rsidP="005800E8">
      <w:pPr>
        <w:pStyle w:val="15"/>
        <w:spacing w:after="0"/>
        <w:contextualSpacing/>
      </w:pPr>
      <w:r>
        <w:t>В условиях деятельности строительной компании необходимо подходить к любой проблеме комплексно, с учетом мнений специалистов различных подразделений. Такому требованию соответствует метод анализа иерархий, при котором оценка поставщика, а также способ его оценивания зависит от большого количества информации, поступающей сразу от нескольких подразделений предприятия. Этот метод позволяет оценивать каждый критерий выбора наравне с остальными, ведь для какого-то подразделения он может оказаться ключевым. Еще одним неоспоримым преимуществом метода анализа иерархий является то, что оценки по критериям отбора, как количественные (цена, срок доставки), так и качественные (качество товара, обширность ассортимента, благонадежность поставщика) можно представить в числовом виде, хоть и с некоторой неопределенностью в суждениях экспертов.</w:t>
      </w:r>
    </w:p>
    <w:p w:rsidR="005800E8" w:rsidRDefault="005E22CE" w:rsidP="005800E8">
      <w:pPr>
        <w:pStyle w:val="15"/>
        <w:spacing w:after="0"/>
        <w:contextualSpacing/>
      </w:pPr>
      <w:r>
        <w:t>П</w:t>
      </w:r>
      <w:r w:rsidR="005800E8">
        <w:t xml:space="preserve">рименение метода анализа иерархий при выборе поставщика железобетонных изделий на примере компании ООО «Строй-М». В процессе конкурентной проработки участвуют три поставщика, </w:t>
      </w:r>
      <w:r w:rsidR="000C3272">
        <w:t>которые</w:t>
      </w:r>
      <w:r w:rsidR="005800E8">
        <w:t xml:space="preserve"> присылают свои коммерческие предложения, после чего составляется конкурентный лист со следующими основными критериями (таблица 1):</w:t>
      </w:r>
    </w:p>
    <w:p w:rsidR="005800E8" w:rsidRDefault="000C3272" w:rsidP="00D167FC">
      <w:pPr>
        <w:pStyle w:val="15"/>
        <w:numPr>
          <w:ilvl w:val="0"/>
          <w:numId w:val="3"/>
        </w:numPr>
        <w:spacing w:after="0"/>
        <w:ind w:left="0" w:firstLine="709"/>
        <w:contextualSpacing/>
      </w:pPr>
      <w:proofErr w:type="gramStart"/>
      <w:r>
        <w:t>с</w:t>
      </w:r>
      <w:r w:rsidR="005800E8">
        <w:t>тоимость</w:t>
      </w:r>
      <w:proofErr w:type="gramEnd"/>
      <w:r w:rsidR="005800E8">
        <w:t xml:space="preserve"> поставки без учета НДС;</w:t>
      </w:r>
    </w:p>
    <w:p w:rsidR="005800E8" w:rsidRDefault="000C3272" w:rsidP="00D167FC">
      <w:pPr>
        <w:pStyle w:val="15"/>
        <w:numPr>
          <w:ilvl w:val="0"/>
          <w:numId w:val="3"/>
        </w:numPr>
        <w:spacing w:after="0"/>
        <w:ind w:left="0" w:firstLine="709"/>
        <w:contextualSpacing/>
      </w:pPr>
      <w:proofErr w:type="gramStart"/>
      <w:r>
        <w:t>р</w:t>
      </w:r>
      <w:r w:rsidR="005800E8">
        <w:t>епутация</w:t>
      </w:r>
      <w:proofErr w:type="gramEnd"/>
      <w:r w:rsidR="005800E8">
        <w:t xml:space="preserve"> поставщика на рынке (срок работы на рынке, наличие сбоев в поставках);</w:t>
      </w:r>
    </w:p>
    <w:p w:rsidR="005800E8" w:rsidRDefault="000C3272" w:rsidP="00D167FC">
      <w:pPr>
        <w:pStyle w:val="15"/>
        <w:numPr>
          <w:ilvl w:val="0"/>
          <w:numId w:val="3"/>
        </w:numPr>
        <w:spacing w:after="0"/>
        <w:ind w:left="0" w:firstLine="709"/>
        <w:contextualSpacing/>
      </w:pPr>
      <w:proofErr w:type="gramStart"/>
      <w:r>
        <w:t>с</w:t>
      </w:r>
      <w:r w:rsidR="005800E8">
        <w:t>рок</w:t>
      </w:r>
      <w:proofErr w:type="gramEnd"/>
      <w:r w:rsidR="005800E8">
        <w:t xml:space="preserve"> поставки;</w:t>
      </w:r>
    </w:p>
    <w:p w:rsidR="005800E8" w:rsidRDefault="000C3272" w:rsidP="00D167FC">
      <w:pPr>
        <w:pStyle w:val="15"/>
        <w:numPr>
          <w:ilvl w:val="0"/>
          <w:numId w:val="3"/>
        </w:numPr>
        <w:spacing w:after="0"/>
        <w:ind w:left="0" w:firstLine="709"/>
        <w:contextualSpacing/>
      </w:pPr>
      <w:proofErr w:type="gramStart"/>
      <w:r>
        <w:t>у</w:t>
      </w:r>
      <w:r w:rsidR="005800E8">
        <w:t>словия</w:t>
      </w:r>
      <w:proofErr w:type="gramEnd"/>
      <w:r w:rsidR="005800E8">
        <w:t xml:space="preserve"> оплаты;</w:t>
      </w:r>
    </w:p>
    <w:p w:rsidR="005800E8" w:rsidRDefault="000C3272" w:rsidP="00D167FC">
      <w:pPr>
        <w:pStyle w:val="15"/>
        <w:numPr>
          <w:ilvl w:val="0"/>
          <w:numId w:val="3"/>
        </w:numPr>
        <w:spacing w:after="0"/>
        <w:ind w:left="0" w:firstLine="709"/>
        <w:contextualSpacing/>
      </w:pPr>
      <w:proofErr w:type="gramStart"/>
      <w:r>
        <w:t>н</w:t>
      </w:r>
      <w:r w:rsidR="005800E8">
        <w:t>аличие</w:t>
      </w:r>
      <w:proofErr w:type="gramEnd"/>
      <w:r w:rsidR="005800E8">
        <w:t xml:space="preserve"> системы менеджмента качества (СМК);</w:t>
      </w:r>
    </w:p>
    <w:p w:rsidR="00DC7B2C" w:rsidRDefault="000C3272" w:rsidP="00DC7B2C">
      <w:pPr>
        <w:pStyle w:val="15"/>
        <w:numPr>
          <w:ilvl w:val="0"/>
          <w:numId w:val="3"/>
        </w:numPr>
        <w:spacing w:after="0" w:line="360" w:lineRule="auto"/>
        <w:ind w:left="0" w:firstLine="709"/>
        <w:contextualSpacing/>
      </w:pPr>
      <w:proofErr w:type="gramStart"/>
      <w:r>
        <w:t>н</w:t>
      </w:r>
      <w:r w:rsidR="005800E8">
        <w:t>аличие</w:t>
      </w:r>
      <w:proofErr w:type="gramEnd"/>
      <w:r w:rsidR="005800E8">
        <w:t xml:space="preserve"> раннего сотрудничества с компанией.</w:t>
      </w:r>
    </w:p>
    <w:p w:rsidR="005800E8" w:rsidRDefault="00CC11DE" w:rsidP="00DC7B2C">
      <w:pPr>
        <w:pStyle w:val="15"/>
        <w:spacing w:after="0" w:line="360" w:lineRule="auto"/>
        <w:ind w:firstLine="0"/>
        <w:contextualSpacing/>
      </w:pPr>
      <w:r>
        <w:t xml:space="preserve">Таблица 1 </w:t>
      </w:r>
      <w:r w:rsidR="00B031AA" w:rsidRPr="00B031AA">
        <w:t>–</w:t>
      </w:r>
      <w:r w:rsidR="00B031AA">
        <w:t xml:space="preserve"> </w:t>
      </w:r>
      <w:r w:rsidR="005800E8">
        <w:t>Конкурентный лист на закупку железобетонных изделий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409"/>
        <w:gridCol w:w="2385"/>
        <w:gridCol w:w="2707"/>
      </w:tblGrid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Критерии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ООО «</w:t>
            </w:r>
            <w:proofErr w:type="spellStart"/>
            <w:r w:rsidRPr="00DC7B2C">
              <w:rPr>
                <w:sz w:val="20"/>
                <w:szCs w:val="20"/>
              </w:rPr>
              <w:t>ГазоБлокИнвест</w:t>
            </w:r>
            <w:proofErr w:type="spellEnd"/>
            <w:r w:rsidRPr="00DC7B2C">
              <w:rPr>
                <w:sz w:val="20"/>
                <w:szCs w:val="20"/>
              </w:rPr>
              <w:t>»</w:t>
            </w:r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ООО «ТЖБИ»</w:t>
            </w:r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ООО «КСМ»</w:t>
            </w:r>
          </w:p>
        </w:tc>
      </w:tr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 xml:space="preserve">Стоимость поставки 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365 280 р.</w:t>
            </w:r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382 200 р.</w:t>
            </w:r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370 150 р.</w:t>
            </w:r>
          </w:p>
        </w:tc>
      </w:tr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Репутация поставщика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2 года на рынке, возможны сбои в поставках, т.к. фирма не является изготовителем</w:t>
            </w:r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 xml:space="preserve">28 лет на рынке, возможны сбои в «загруженные» месяца, проблемы с заказчиком решаются </w:t>
            </w:r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5 лет на рынке, нет сбоев в поставках</w:t>
            </w:r>
          </w:p>
        </w:tc>
      </w:tr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1-2 недели</w:t>
            </w:r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3 недели</w:t>
            </w:r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2 недели</w:t>
            </w:r>
          </w:p>
        </w:tc>
      </w:tr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оплата</w:t>
            </w:r>
            <w:proofErr w:type="gramEnd"/>
            <w:r w:rsidRPr="00DC7B2C">
              <w:rPr>
                <w:sz w:val="20"/>
                <w:szCs w:val="20"/>
              </w:rPr>
              <w:t xml:space="preserve"> по факту поступления</w:t>
            </w:r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по</w:t>
            </w:r>
            <w:proofErr w:type="gramEnd"/>
            <w:r w:rsidRPr="00DC7B2C">
              <w:rPr>
                <w:sz w:val="20"/>
                <w:szCs w:val="20"/>
              </w:rPr>
              <w:t xml:space="preserve"> факту поступления, возможна отсрочка платежа до 2 недель</w:t>
            </w:r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80% предоплаты</w:t>
            </w:r>
          </w:p>
        </w:tc>
      </w:tr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Наличие СМК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сертификаты</w:t>
            </w:r>
            <w:proofErr w:type="gramEnd"/>
            <w:r w:rsidRPr="00DC7B2C">
              <w:rPr>
                <w:sz w:val="20"/>
                <w:szCs w:val="20"/>
              </w:rPr>
              <w:t xml:space="preserve"> от изготовителя, нет собственной СМК</w:t>
            </w:r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есть</w:t>
            </w:r>
            <w:proofErr w:type="gramEnd"/>
            <w:r w:rsidRPr="00DC7B2C">
              <w:rPr>
                <w:sz w:val="20"/>
                <w:szCs w:val="20"/>
              </w:rPr>
              <w:t xml:space="preserve"> СМК, отдел контроля качества, сертификация по ГОСТ</w:t>
            </w:r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СМК на стадии разработки, контроль качества осуществляется внешними фирмами</w:t>
            </w:r>
          </w:p>
        </w:tc>
      </w:tr>
      <w:tr w:rsidR="005800E8" w:rsidRPr="00DC7B2C" w:rsidTr="00455865">
        <w:tc>
          <w:tcPr>
            <w:tcW w:w="2388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7B2C">
              <w:rPr>
                <w:sz w:val="20"/>
                <w:szCs w:val="20"/>
              </w:rPr>
              <w:t>Раннее сотрудничество</w:t>
            </w:r>
          </w:p>
        </w:tc>
        <w:tc>
          <w:tcPr>
            <w:tcW w:w="2409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85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707" w:type="dxa"/>
            <w:vAlign w:val="center"/>
          </w:tcPr>
          <w:p w:rsidR="005800E8" w:rsidRPr="00DC7B2C" w:rsidRDefault="005800E8" w:rsidP="003819F8">
            <w:pPr>
              <w:pStyle w:val="15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C7B2C">
              <w:rPr>
                <w:sz w:val="20"/>
                <w:szCs w:val="20"/>
              </w:rPr>
              <w:t>нет</w:t>
            </w:r>
            <w:proofErr w:type="gramEnd"/>
          </w:p>
        </w:tc>
      </w:tr>
    </w:tbl>
    <w:p w:rsidR="005800E8" w:rsidRDefault="005800E8" w:rsidP="005800E8">
      <w:pPr>
        <w:pStyle w:val="15"/>
        <w:spacing w:after="0"/>
        <w:ind w:firstLine="0"/>
        <w:contextualSpacing/>
        <w:jc w:val="right"/>
      </w:pPr>
    </w:p>
    <w:p w:rsidR="005800E8" w:rsidRDefault="005800E8" w:rsidP="005800E8">
      <w:pPr>
        <w:pStyle w:val="15"/>
        <w:spacing w:after="0"/>
        <w:ind w:firstLine="708"/>
        <w:contextualSpacing/>
      </w:pPr>
      <w:r>
        <w:t>По данным таблицы нельзя сделать однозначный вывод об оптимальном поставщике, так как нет информации о важности того или иного критерия оценки.</w:t>
      </w:r>
    </w:p>
    <w:p w:rsidR="005800E8" w:rsidRDefault="005800E8" w:rsidP="005800E8">
      <w:pPr>
        <w:pStyle w:val="15"/>
        <w:spacing w:after="0"/>
        <w:contextualSpacing/>
      </w:pPr>
      <w:r>
        <w:t xml:space="preserve">На первом этапе </w:t>
      </w:r>
      <w:r w:rsidR="00CC11DE">
        <w:t>оптимизации процесс</w:t>
      </w:r>
      <w:r>
        <w:t xml:space="preserve"> </w:t>
      </w:r>
      <w:r w:rsidR="00CC11DE">
        <w:t xml:space="preserve">представляется в </w:t>
      </w:r>
      <w:r>
        <w:t xml:space="preserve">иерархическом виде </w:t>
      </w:r>
      <w:r w:rsidR="00CC11DE">
        <w:t>с</w:t>
      </w:r>
      <w:r>
        <w:t xml:space="preserve"> установления связи между целью, критерия</w:t>
      </w:r>
      <w:r w:rsidR="00CC11DE">
        <w:t>ми оценки и альтернативами (рисунок</w:t>
      </w:r>
      <w:r>
        <w:t xml:space="preserve"> 1). </w:t>
      </w:r>
    </w:p>
    <w:p w:rsidR="005800E8" w:rsidRDefault="005800E8" w:rsidP="005800E8">
      <w:pPr>
        <w:pStyle w:val="15"/>
        <w:spacing w:after="0"/>
        <w:ind w:firstLine="0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113780" cy="2349500"/>
            <wp:effectExtent l="19050" t="0" r="1270" b="0"/>
            <wp:docPr id="1" name="Рисунок 1" descr="Иерархия Ц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ерархия Ц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E8" w:rsidRDefault="005800E8" w:rsidP="00947E32">
      <w:pPr>
        <w:pStyle w:val="15"/>
        <w:spacing w:after="0"/>
        <w:ind w:firstLine="0"/>
        <w:contextualSpacing/>
        <w:jc w:val="center"/>
      </w:pPr>
      <w:r>
        <w:t>Рисунок 1</w:t>
      </w:r>
      <w:r w:rsidR="00B031AA">
        <w:t xml:space="preserve"> </w:t>
      </w:r>
      <w:proofErr w:type="gramStart"/>
      <w:r w:rsidR="0010146C" w:rsidRPr="0010146C">
        <w:t>–</w:t>
      </w:r>
      <w:r w:rsidR="0010146C">
        <w:t xml:space="preserve"> </w:t>
      </w:r>
      <w:r>
        <w:t xml:space="preserve"> Иерархическая</w:t>
      </w:r>
      <w:proofErr w:type="gramEnd"/>
      <w:r>
        <w:t xml:space="preserve"> структура задачи выбора оптимального поставщика</w:t>
      </w:r>
    </w:p>
    <w:p w:rsidR="005800E8" w:rsidRDefault="005800E8" w:rsidP="005800E8">
      <w:pPr>
        <w:pStyle w:val="15"/>
        <w:spacing w:after="0"/>
        <w:ind w:firstLine="0"/>
        <w:contextualSpacing/>
        <w:jc w:val="center"/>
      </w:pPr>
    </w:p>
    <w:p w:rsidR="005800E8" w:rsidRDefault="005800E8" w:rsidP="005800E8">
      <w:pPr>
        <w:pStyle w:val="15"/>
        <w:spacing w:after="0"/>
        <w:contextualSpacing/>
      </w:pPr>
      <w:r>
        <w:t xml:space="preserve"> После определения элементов иерархии, критерии и а</w:t>
      </w:r>
      <w:r w:rsidR="00947E32">
        <w:t>льтернативы сравниваются. С</w:t>
      </w:r>
      <w:r>
        <w:t>оставл</w:t>
      </w:r>
      <w:r w:rsidR="00E36F02">
        <w:t>ена</w:t>
      </w:r>
      <w:r>
        <w:t xml:space="preserve"> матрица парных сравнений критериев и </w:t>
      </w:r>
      <w:proofErr w:type="gramStart"/>
      <w:r>
        <w:t>альтернатив  посредством</w:t>
      </w:r>
      <w:proofErr w:type="gramEnd"/>
      <w:r>
        <w:t xml:space="preserve"> определения доминирования одного над другим по шкале оценки предпочтений (от 1 (варианты </w:t>
      </w:r>
      <w:proofErr w:type="spellStart"/>
      <w:r>
        <w:t>равнозначимы</w:t>
      </w:r>
      <w:proofErr w:type="spellEnd"/>
      <w:r>
        <w:t>) до 9 (первый вариант имеет абсолютную значимость в сравнении с другим), обратные величины присваиваются второму варианту).</w:t>
      </w:r>
      <w:r w:rsidR="00947E32">
        <w:t xml:space="preserve"> </w:t>
      </w:r>
      <w:r w:rsidR="002B73CF">
        <w:t xml:space="preserve">Если число сравниваемых элементов </w:t>
      </w:r>
      <w:r w:rsidR="002B73CF" w:rsidRPr="002B73CF">
        <w:rPr>
          <w:i/>
          <w:lang w:val="en-US"/>
        </w:rPr>
        <w:t>n</w:t>
      </w:r>
      <w:r w:rsidR="002B73CF">
        <w:t>, то ц</w:t>
      </w:r>
      <w:r>
        <w:t xml:space="preserve">енность каждого </w:t>
      </w:r>
      <w:r w:rsidR="002B73CF">
        <w:t xml:space="preserve">из них </w:t>
      </w:r>
      <w:proofErr w:type="gramStart"/>
      <w:r w:rsidR="002B73CF">
        <w:t>определяется  как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5800E8" w:rsidRPr="005800E8" w:rsidTr="005800E8">
        <w:tc>
          <w:tcPr>
            <w:tcW w:w="1809" w:type="dxa"/>
            <w:vAlign w:val="center"/>
          </w:tcPr>
          <w:p w:rsidR="005800E8" w:rsidRPr="005F5737" w:rsidRDefault="005800E8" w:rsidP="005800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5800E8" w:rsidRPr="00E36F02" w:rsidRDefault="005B39E1" w:rsidP="005800E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…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in</m:t>
                      </m:r>
                    </m:sub>
                  </m:sSub>
                </m:e>
              </m:rad>
            </m:oMath>
            <w:r w:rsidR="00E36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vAlign w:val="center"/>
          </w:tcPr>
          <w:p w:rsidR="005800E8" w:rsidRPr="005800E8" w:rsidRDefault="005800E8" w:rsidP="005800E8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(1)</w:t>
            </w:r>
          </w:p>
        </w:tc>
      </w:tr>
    </w:tbl>
    <w:p w:rsidR="002B73CF" w:rsidRDefault="002B73CF" w:rsidP="005800E8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5800E8" w:rsidRPr="005F5737" w:rsidRDefault="002B73CF" w:rsidP="005800E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ормирующий множитель</w:t>
      </w:r>
      <w:r w:rsidRPr="005800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5800E8" w:rsidRPr="005800E8">
        <w:rPr>
          <w:rFonts w:ascii="Times New Roman" w:hAnsi="Times New Roman" w:cs="Times New Roman"/>
          <w:sz w:val="24"/>
        </w:rPr>
        <w:t xml:space="preserve">ля проведения нормализации  </w:t>
      </w:r>
      <w:r w:rsidR="005800E8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5800E8" w:rsidRPr="005800E8" w:rsidTr="003819F8">
        <w:tc>
          <w:tcPr>
            <w:tcW w:w="1809" w:type="dxa"/>
            <w:vAlign w:val="center"/>
          </w:tcPr>
          <w:p w:rsidR="005800E8" w:rsidRDefault="005800E8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B73CF" w:rsidRPr="005F5737" w:rsidRDefault="002B73CF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5800E8" w:rsidRPr="005800E8" w:rsidRDefault="005800E8" w:rsidP="005800E8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r=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Times New Roman" w:cs="Times New Roman"/>
                </w:rPr>
                <m:t>…</m:t>
              </m:r>
              <m: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n</m:t>
                  </m:r>
                </m:sub>
              </m:sSub>
            </m:oMath>
            <w:r w:rsidR="00E36F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08" w:type="dxa"/>
            <w:vAlign w:val="center"/>
          </w:tcPr>
          <w:p w:rsidR="005800E8" w:rsidRPr="005800E8" w:rsidRDefault="005800E8" w:rsidP="005800E8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800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2B73CF" w:rsidRDefault="002B73CF" w:rsidP="005800E8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5800E8" w:rsidRPr="005F5737" w:rsidRDefault="002B73CF" w:rsidP="005800E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Вектор</w:t>
      </w:r>
      <w:r w:rsidR="005800E8" w:rsidRPr="005800E8">
        <w:rPr>
          <w:rFonts w:ascii="Times New Roman" w:hAnsi="Times New Roman" w:cs="Times New Roman"/>
          <w:sz w:val="24"/>
        </w:rPr>
        <w:t xml:space="preserve"> приоритетов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1854BB" w:rsidRPr="005800E8" w:rsidTr="003819F8">
        <w:tc>
          <w:tcPr>
            <w:tcW w:w="1809" w:type="dxa"/>
            <w:vAlign w:val="center"/>
          </w:tcPr>
          <w:p w:rsidR="001854BB" w:rsidRPr="005F5737" w:rsidRDefault="001854BB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1854BB" w:rsidRPr="005800E8" w:rsidRDefault="005B39E1" w:rsidP="001854BB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</w:rPr>
                      <m:t>r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,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</w:rPr>
                      <m:t>i=1,2,</m:t>
                    </m:r>
                    <m:r>
                      <w:rPr>
                        <w:rFonts w:ascii="Cambria Math" w:hAnsi="Times New Roman" w:cs="Times New Roman"/>
                      </w:rPr>
                      <m:t>…</m:t>
                    </m:r>
                    <m:r>
                      <w:rPr>
                        <w:rFonts w:ascii="Cambria Math" w:hAnsi="Times New Roman" w:cs="Times New Roman"/>
                      </w:rPr>
                      <m:t>,n</m:t>
                    </m:r>
                  </m:e>
                </m:d>
                <m:r>
                  <w:rPr>
                    <w:rFonts w:ascii="Cambria Math" w:hAnsi="Times New Roman" w:cs="Times New Roman"/>
                  </w:rPr>
                  <m:t>.</m:t>
                </m:r>
              </m:oMath>
            </m:oMathPara>
          </w:p>
        </w:tc>
        <w:tc>
          <w:tcPr>
            <w:tcW w:w="1808" w:type="dxa"/>
            <w:vAlign w:val="center"/>
          </w:tcPr>
          <w:p w:rsidR="001854BB" w:rsidRPr="005800E8" w:rsidRDefault="001854BB" w:rsidP="00747C52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 w:rsidR="00747C52">
              <w:rPr>
                <w:rFonts w:ascii="Times New Roman" w:hAnsi="Times New Roman" w:cs="Times New Roman"/>
                <w:lang w:val="en-US"/>
              </w:rPr>
              <w:t>3</w:t>
            </w:r>
            <w:r w:rsidRPr="005800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2B73CF" w:rsidRDefault="002B73CF" w:rsidP="005800E8">
      <w:pPr>
        <w:pStyle w:val="15"/>
        <w:spacing w:after="0"/>
        <w:contextualSpacing/>
      </w:pPr>
    </w:p>
    <w:p w:rsidR="00747C52" w:rsidRPr="005F5737" w:rsidRDefault="00747C52" w:rsidP="005800E8">
      <w:pPr>
        <w:pStyle w:val="15"/>
        <w:spacing w:after="0"/>
        <w:contextualSpacing/>
      </w:pPr>
      <w:r>
        <w:t>Отклонение от согласованности</w:t>
      </w:r>
      <w:r w:rsidR="00304A96">
        <w:t xml:space="preserve"> </w:t>
      </w:r>
      <w:proofErr w:type="gramStart"/>
      <w:r w:rsidR="00304A96">
        <w:t xml:space="preserve">являются </w:t>
      </w:r>
      <w:r>
        <w:t xml:space="preserve"> </w:t>
      </w:r>
      <w:r w:rsidR="002B73CF">
        <w:t>индексом</w:t>
      </w:r>
      <w:proofErr w:type="gramEnd"/>
      <w:r w:rsidR="002B73CF">
        <w:t xml:space="preserve"> согласованности</w:t>
      </w:r>
      <w:r w:rsidR="00304A96">
        <w:t xml:space="preserve"> (ИС</w:t>
      </w:r>
      <w:r w:rsidR="002B73CF">
        <w:t>)</w:t>
      </w:r>
      <w: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747C52" w:rsidRPr="005800E8" w:rsidTr="003819F8">
        <w:tc>
          <w:tcPr>
            <w:tcW w:w="1809" w:type="dxa"/>
            <w:vAlign w:val="center"/>
          </w:tcPr>
          <w:p w:rsidR="00747C52" w:rsidRPr="005F5737" w:rsidRDefault="00747C52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747C52" w:rsidRPr="005800E8" w:rsidRDefault="00747C52" w:rsidP="00747C52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 w:cs="Times New Roman"/>
                  </w:rPr>
                  <m:t>ИС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n</m:t>
                        </m:r>
                      </m:e>
                    </m:d>
                  </m:num>
                  <m:den>
                    <m:r>
                      <w:rPr>
                        <w:rFonts w:ascii="Cambria Math" w:hAnsi="Times New Roman" w:cs="Times New Roman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.</m:t>
                </m:r>
              </m:oMath>
            </m:oMathPara>
          </w:p>
        </w:tc>
        <w:tc>
          <w:tcPr>
            <w:tcW w:w="1808" w:type="dxa"/>
            <w:vAlign w:val="center"/>
          </w:tcPr>
          <w:p w:rsidR="00747C52" w:rsidRPr="005800E8" w:rsidRDefault="00747C52" w:rsidP="00747C52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800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E36F02" w:rsidRDefault="00E36F02" w:rsidP="005800E8">
      <w:pPr>
        <w:pStyle w:val="15"/>
        <w:spacing w:after="0"/>
        <w:contextualSpacing/>
      </w:pPr>
    </w:p>
    <w:p w:rsidR="00747C52" w:rsidRDefault="00E36F02" w:rsidP="005800E8">
      <w:pPr>
        <w:pStyle w:val="15"/>
        <w:spacing w:after="0"/>
        <w:contextualSpacing/>
      </w:pPr>
      <w:r>
        <w:t>Ст</w:t>
      </w:r>
      <w:r w:rsidR="00747C52">
        <w:t>олбц</w:t>
      </w:r>
      <w:r>
        <w:t>ы</w:t>
      </w:r>
      <w:r w:rsidR="00747C52">
        <w:t xml:space="preserve"> матрицы суждений</w:t>
      </w:r>
      <w:r>
        <w:t xml:space="preserve"> определяются как</w:t>
      </w:r>
    </w:p>
    <w:p w:rsidR="00E36F02" w:rsidRDefault="00E36F02" w:rsidP="005800E8">
      <w:pPr>
        <w:pStyle w:val="15"/>
        <w:spacing w:after="0"/>
        <w:contextualSpacing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747C52" w:rsidRPr="005800E8" w:rsidTr="003819F8">
        <w:tc>
          <w:tcPr>
            <w:tcW w:w="1809" w:type="dxa"/>
            <w:vAlign w:val="center"/>
          </w:tcPr>
          <w:p w:rsidR="00747C52" w:rsidRPr="005F5737" w:rsidRDefault="00747C52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747C52" w:rsidRPr="00E36F02" w:rsidRDefault="005B39E1" w:rsidP="00FB07EB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</w:rPr>
                <m:t xml:space="preserve">=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1j</m:t>
                  </m:r>
                </m:sub>
              </m:sSub>
              <m:r>
                <w:rPr>
                  <w:rFonts w:ascii="Cambria Math" w:hAnsi="Times New Roman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2j</m:t>
                  </m:r>
                </m:sub>
              </m:sSub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Times New Roman" w:cs="Times New Roman"/>
                </w:rPr>
                <m:t>…</m:t>
              </m:r>
              <m: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nj</m:t>
                  </m:r>
                </m:sub>
              </m:sSub>
              <m:r>
                <w:rPr>
                  <w:rFonts w:ascii="Cambria Math" w:hAnsi="Times New Roman" w:cs="Times New Roman"/>
                </w:rPr>
                <m:t>, (j=1,2,</m:t>
              </m:r>
              <m:r>
                <w:rPr>
                  <w:rFonts w:ascii="Cambria Math" w:hAnsi="Times New Roman" w:cs="Times New Roman"/>
                </w:rPr>
                <m:t>…</m:t>
              </m:r>
              <m:r>
                <w:rPr>
                  <w:rFonts w:ascii="Cambria Math" w:hAnsi="Times New Roman" w:cs="Times New Roman"/>
                </w:rPr>
                <m:t>,n)</m:t>
              </m:r>
            </m:oMath>
            <w:r w:rsidR="00E36F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08" w:type="dxa"/>
            <w:vAlign w:val="center"/>
          </w:tcPr>
          <w:p w:rsidR="00747C52" w:rsidRPr="005800E8" w:rsidRDefault="00747C52" w:rsidP="00747C52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800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FB07EB" w:rsidRPr="005F5737" w:rsidRDefault="00E36F02" w:rsidP="005800E8">
      <w:pPr>
        <w:pStyle w:val="15"/>
        <w:spacing w:after="0"/>
        <w:contextualSpacing/>
      </w:pPr>
      <w:r>
        <w:t>Сумма чисел</w:t>
      </w:r>
      <w:r w:rsidRPr="00E36F02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FB07EB" w:rsidRPr="005800E8" w:rsidTr="003819F8">
        <w:tc>
          <w:tcPr>
            <w:tcW w:w="1809" w:type="dxa"/>
            <w:vAlign w:val="center"/>
          </w:tcPr>
          <w:p w:rsidR="00FB07EB" w:rsidRPr="005F5737" w:rsidRDefault="00FB07EB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FB07EB" w:rsidRPr="005800E8" w:rsidRDefault="005B39E1" w:rsidP="00FB07EB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j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j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, (j=1,2,</m:t>
                </m:r>
                <m:r>
                  <w:rPr>
                    <w:rFonts w:ascii="Cambria Math" w:hAnsi="Times New Roman" w:cs="Times New Roman"/>
                  </w:rPr>
                  <m:t>…</m:t>
                </m:r>
                <m:r>
                  <w:rPr>
                    <w:rFonts w:ascii="Cambria Math" w:hAnsi="Times New Roman" w:cs="Times New Roman"/>
                  </w:rPr>
                  <m:t>,n)</m:t>
                </m:r>
              </m:oMath>
            </m:oMathPara>
          </w:p>
        </w:tc>
        <w:tc>
          <w:tcPr>
            <w:tcW w:w="1808" w:type="dxa"/>
            <w:vAlign w:val="center"/>
          </w:tcPr>
          <w:p w:rsidR="00FB07EB" w:rsidRPr="005800E8" w:rsidRDefault="00FB07EB" w:rsidP="003819F8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 w:rsidR="004525FE">
              <w:rPr>
                <w:rFonts w:ascii="Times New Roman" w:hAnsi="Times New Roman" w:cs="Times New Roman"/>
                <w:lang w:val="en-US"/>
              </w:rPr>
              <w:t>6</w:t>
            </w:r>
            <w:r w:rsidRPr="005800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E36F02" w:rsidRDefault="00E36F02" w:rsidP="005800E8">
      <w:pPr>
        <w:pStyle w:val="15"/>
        <w:spacing w:after="0"/>
        <w:contextualSpacing/>
      </w:pPr>
    </w:p>
    <w:p w:rsidR="004525FE" w:rsidRPr="005F5737" w:rsidRDefault="00E36F02" w:rsidP="005800E8">
      <w:pPr>
        <w:pStyle w:val="15"/>
        <w:spacing w:after="0"/>
        <w:contextualSpacing/>
      </w:pPr>
      <w:proofErr w:type="gramStart"/>
      <w:r>
        <w:t>отражает</w:t>
      </w:r>
      <w:proofErr w:type="gramEnd"/>
      <w:r>
        <w:t xml:space="preserve"> пропорциональность предпочтений</w:t>
      </w:r>
      <w:r w:rsidR="00747C52">
        <w:t xml:space="preserve">, чем ближе эта величина к </w:t>
      </w:r>
      <w:r w:rsidR="00747C52" w:rsidRPr="000D0EE2">
        <w:rPr>
          <w:i/>
        </w:rPr>
        <w:t>n</w:t>
      </w:r>
      <w:r w:rsidR="00747C52">
        <w:t xml:space="preserve">, тем более согласованы суждения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4525FE" w:rsidRPr="005800E8" w:rsidTr="003819F8">
        <w:tc>
          <w:tcPr>
            <w:tcW w:w="1809" w:type="dxa"/>
            <w:vAlign w:val="center"/>
          </w:tcPr>
          <w:p w:rsidR="004525FE" w:rsidRPr="005F5737" w:rsidRDefault="004525FE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4525FE" w:rsidRPr="005800E8" w:rsidRDefault="005B39E1" w:rsidP="004525FE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hAnsi="Times New Roman" w:cs="Times New Roman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Times New Roman" w:cs="Times New Roman"/>
                  </w:rPr>
                  <m:t>…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808" w:type="dxa"/>
            <w:vAlign w:val="center"/>
          </w:tcPr>
          <w:p w:rsidR="004525FE" w:rsidRPr="005800E8" w:rsidRDefault="004525FE" w:rsidP="004525FE">
            <w:pPr>
              <w:spacing w:before="120"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800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E36F02" w:rsidRDefault="00E36F02" w:rsidP="005800E8">
      <w:pPr>
        <w:pStyle w:val="15"/>
        <w:spacing w:after="0"/>
        <w:contextualSpacing/>
      </w:pPr>
    </w:p>
    <w:p w:rsidR="00747C52" w:rsidRDefault="00747C52" w:rsidP="005800E8">
      <w:pPr>
        <w:pStyle w:val="15"/>
        <w:spacing w:after="0"/>
        <w:contextualSpacing/>
      </w:pPr>
      <w:r>
        <w:t xml:space="preserve">Случайный индекс (СИ) представляет собой </w:t>
      </w:r>
      <w:r w:rsidR="004525FE" w:rsidRPr="004525FE">
        <w:t>индекс согласованности сгенерированной случайным обр</w:t>
      </w:r>
      <w:r w:rsidR="004525FE">
        <w:t xml:space="preserve">азом по шкале от 1 до 9 </w:t>
      </w:r>
      <w:proofErr w:type="spellStart"/>
      <w:r w:rsidR="004525FE">
        <w:t>обратно</w:t>
      </w:r>
      <w:r w:rsidR="004525FE" w:rsidRPr="004525FE">
        <w:t>симметричной</w:t>
      </w:r>
      <w:proofErr w:type="spellEnd"/>
      <w:r w:rsidR="004525FE" w:rsidRPr="004525FE">
        <w:t xml:space="preserve"> матрицы с соответствующими обратными величинами элементов. </w:t>
      </w:r>
      <w:r w:rsidR="009905D2" w:rsidRPr="009905D2">
        <w:t>Значения СИ для матриц порядк</w:t>
      </w:r>
      <w:r w:rsidR="009905D2">
        <w:t>а от 1 до 15 представлены в таблице 2.</w:t>
      </w:r>
    </w:p>
    <w:p w:rsidR="00B0650F" w:rsidRPr="00B0650F" w:rsidRDefault="00B031AA" w:rsidP="00B031AA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lastRenderedPageBreak/>
        <w:t xml:space="preserve">Таблица 2 </w:t>
      </w:r>
      <w:proofErr w:type="gramStart"/>
      <w:r w:rsidRPr="00B031AA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="00B0650F"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Значения</w:t>
      </w:r>
      <w:proofErr w:type="gramEnd"/>
      <w:r w:rsidR="00B0650F"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случайного индекса</w:t>
      </w:r>
      <w:r w:rsid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для матрицы попарных сравнений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B0650F" w:rsidRPr="00B0650F" w:rsidTr="00B0650F">
        <w:trPr>
          <w:jc w:val="center"/>
        </w:trPr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Порядок матрицы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B0650F" w:rsidRPr="00B0650F" w:rsidTr="00B0650F">
        <w:trPr>
          <w:jc w:val="center"/>
        </w:trPr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Значение СИ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0,58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0,90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1,32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1,41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1,49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1,51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1,48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1,56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1,57</w:t>
            </w:r>
          </w:p>
        </w:tc>
        <w:tc>
          <w:tcPr>
            <w:tcW w:w="0" w:type="auto"/>
            <w:hideMark/>
          </w:tcPr>
          <w:p w:rsidR="00B0650F" w:rsidRPr="00B0650F" w:rsidRDefault="00B0650F" w:rsidP="00B0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650F">
              <w:rPr>
                <w:rFonts w:ascii="Times New Roman" w:eastAsia="Times New Roman" w:hAnsi="Times New Roman" w:cs="Times New Roman"/>
                <w:sz w:val="20"/>
                <w:szCs w:val="24"/>
              </w:rPr>
              <w:t>1,59</w:t>
            </w:r>
          </w:p>
        </w:tc>
      </w:tr>
    </w:tbl>
    <w:p w:rsidR="00B031AA" w:rsidRDefault="00B031AA" w:rsidP="00B0650F">
      <w:pPr>
        <w:pStyle w:val="15"/>
        <w:spacing w:after="0"/>
        <w:ind w:firstLine="708"/>
        <w:contextualSpacing/>
      </w:pPr>
    </w:p>
    <w:p w:rsidR="00D660B3" w:rsidRDefault="00D660B3" w:rsidP="00B0650F">
      <w:pPr>
        <w:pStyle w:val="15"/>
        <w:spacing w:after="0"/>
        <w:ind w:firstLine="708"/>
        <w:contextualSpacing/>
      </w:pPr>
      <w:r>
        <w:t>Для определения допустимости согласованности суждений вычисл</w:t>
      </w:r>
      <w:r w:rsidR="00B031AA">
        <w:t>ено</w:t>
      </w:r>
      <w:r>
        <w:t xml:space="preserve"> </w:t>
      </w:r>
      <w:r w:rsidR="00F57373">
        <w:t>отнош</w:t>
      </w:r>
      <w:r w:rsidR="00B031AA">
        <w:t>ение согласованности (ОС)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F57373" w:rsidRPr="005800E8" w:rsidTr="003819F8">
        <w:tc>
          <w:tcPr>
            <w:tcW w:w="1809" w:type="dxa"/>
            <w:vAlign w:val="center"/>
          </w:tcPr>
          <w:p w:rsidR="00F57373" w:rsidRPr="005F5737" w:rsidRDefault="00F57373" w:rsidP="003819F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F57373" w:rsidRPr="005800E8" w:rsidRDefault="00F57373" w:rsidP="00F57373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ОС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ИС</m:t>
              </m:r>
              <m:r>
                <w:rPr>
                  <w:rFonts w:ascii="Cambria Math" w:hAnsi="Times New Roman" w:cs="Times New Roman"/>
                </w:rPr>
                <m:t>/</m:t>
              </m:r>
              <m:r>
                <w:rPr>
                  <w:rFonts w:ascii="Cambria Math" w:hAnsi="Times New Roman" w:cs="Times New Roman"/>
                </w:rPr>
                <m:t>СИ</m:t>
              </m:r>
            </m:oMath>
            <w:r w:rsidR="00DE396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08" w:type="dxa"/>
            <w:vAlign w:val="center"/>
          </w:tcPr>
          <w:p w:rsidR="00F57373" w:rsidRPr="00F57373" w:rsidRDefault="00F57373" w:rsidP="00F57373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</w:tbl>
    <w:p w:rsidR="001E7B85" w:rsidRDefault="001E7B85" w:rsidP="00B0650F">
      <w:pPr>
        <w:pStyle w:val="15"/>
        <w:spacing w:after="0"/>
        <w:ind w:firstLine="708"/>
        <w:contextualSpacing/>
      </w:pPr>
      <w:r>
        <w:t xml:space="preserve"> </w:t>
      </w:r>
    </w:p>
    <w:p w:rsidR="00DA60D9" w:rsidRDefault="00F57373" w:rsidP="00B0650F">
      <w:pPr>
        <w:pStyle w:val="15"/>
        <w:spacing w:after="0"/>
        <w:ind w:firstLine="708"/>
        <w:contextualSpacing/>
      </w:pPr>
      <w:r>
        <w:t>Значение ОС меньшее, либо равное 0,1 считается приемлемым порогом допустимой согласованности суждений. Если ОС больше, либо равно 0,1, то необходимо пересмотреть матрицу суждений, уточнив имеющиеся данные. Приоритеты альтернатив определ</w:t>
      </w:r>
      <w:r w:rsidR="00DE3965">
        <w:t>ены</w:t>
      </w:r>
      <w:r>
        <w:t xml:space="preserve"> посредством произведения локальных приоритетов и приоритетов конкретных критериев на высшем уровне и последующего суммирования по каждому элементу в соответствии с критериями, на которые распространяется воздействие данного элемента. Данное </w:t>
      </w:r>
      <w:proofErr w:type="gramStart"/>
      <w:r>
        <w:t>произведение  явля</w:t>
      </w:r>
      <w:r w:rsidR="00DE3965">
        <w:t>е</w:t>
      </w:r>
      <w:r>
        <w:t>т</w:t>
      </w:r>
      <w:r w:rsidR="00DE3965">
        <w:t>ся</w:t>
      </w:r>
      <w:proofErr w:type="gramEnd"/>
      <w:r w:rsidR="00DE3965">
        <w:t xml:space="preserve"> глобальным приоритетом (ГП)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DA60D9" w:rsidRPr="00F57373" w:rsidTr="005B39E1">
        <w:tc>
          <w:tcPr>
            <w:tcW w:w="1809" w:type="dxa"/>
            <w:vAlign w:val="center"/>
          </w:tcPr>
          <w:p w:rsidR="00DA60D9" w:rsidRPr="00DE3965" w:rsidRDefault="00DA60D9" w:rsidP="005B39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DA60D9" w:rsidRPr="00DA60D9" w:rsidRDefault="005B39E1" w:rsidP="00DE3965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Times New Roman" w:cs="Times New Roman"/>
                      </w:rPr>
                      <m:t>i=1</m:t>
                    </m:r>
                  </m:sub>
                  <m:sup>
                    <m:r>
                      <w:rPr>
                        <w:rFonts w:ascii="Cambria Math" w:hAnsi="Times New Roman" w:cs="Times New Roman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</w:rPr>
                      <m:t xml:space="preserve">, </m:t>
                    </m:r>
                  </m:e>
                </m:nary>
              </m:oMath>
            </m:oMathPara>
          </w:p>
        </w:tc>
        <w:tc>
          <w:tcPr>
            <w:tcW w:w="1808" w:type="dxa"/>
            <w:vAlign w:val="center"/>
          </w:tcPr>
          <w:p w:rsidR="00DA60D9" w:rsidRPr="00F57373" w:rsidRDefault="00DA60D9" w:rsidP="005B39E1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  <w:r w:rsidRPr="005800E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</w:tbl>
    <w:p w:rsidR="00DE3965" w:rsidRDefault="00DE3965" w:rsidP="00DA60D9">
      <w:pPr>
        <w:pStyle w:val="a7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</w:rPr>
      </w:pPr>
    </w:p>
    <w:p w:rsidR="00DA60D9" w:rsidRPr="00DA60D9" w:rsidRDefault="00DA60D9" w:rsidP="00DE3965">
      <w:pPr>
        <w:pStyle w:val="a7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color w:val="000000"/>
        </w:rPr>
      </w:pPr>
      <w:proofErr w:type="gramStart"/>
      <w:r w:rsidRPr="00DA60D9">
        <w:rPr>
          <w:color w:val="000000"/>
        </w:rPr>
        <w:t>где 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/>
              </w:rPr>
              <m:t>i</m:t>
            </m:r>
          </m:sub>
        </m:sSub>
      </m:oMath>
      <w:r w:rsidRPr="00DA60D9">
        <w:rPr>
          <w:color w:val="000000"/>
        </w:rPr>
        <w:t> –</w:t>
      </w:r>
      <w:proofErr w:type="gramEnd"/>
      <w:r w:rsidRPr="00DA60D9">
        <w:rPr>
          <w:color w:val="000000"/>
        </w:rPr>
        <w:t xml:space="preserve"> весовой коэффициент </w:t>
      </w:r>
      <w:r>
        <w:rPr>
          <w:color w:val="000000"/>
        </w:rPr>
        <w:t>важности</w:t>
      </w:r>
      <w:r w:rsidRPr="00DA60D9">
        <w:rPr>
          <w:color w:val="000000"/>
        </w:rPr>
        <w:t xml:space="preserve"> критерия</w:t>
      </w:r>
      <w:r>
        <w:rPr>
          <w:color w:val="0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/>
              </w:rPr>
              <m:t>ij</m:t>
            </m:r>
          </m:sub>
        </m:sSub>
      </m:oMath>
      <w:r w:rsidRPr="00DA60D9">
        <w:rPr>
          <w:color w:val="000000"/>
        </w:rPr>
        <w:t xml:space="preserve"> – </w:t>
      </w:r>
      <w:r>
        <w:rPr>
          <w:color w:val="000000"/>
        </w:rPr>
        <w:t>рейтинг</w:t>
      </w:r>
      <w:r w:rsidRPr="00DA60D9">
        <w:rPr>
          <w:color w:val="000000"/>
        </w:rPr>
        <w:t> </w:t>
      </w:r>
      <w:r w:rsidRPr="00DA60D9">
        <w:rPr>
          <w:i/>
          <w:iCs/>
          <w:color w:val="000000"/>
        </w:rPr>
        <w:t>j</w:t>
      </w:r>
      <w:r w:rsidRPr="00DA60D9">
        <w:rPr>
          <w:color w:val="000000"/>
        </w:rPr>
        <w:t>-</w:t>
      </w:r>
      <w:proofErr w:type="spellStart"/>
      <w:r w:rsidRPr="00DA60D9">
        <w:rPr>
          <w:color w:val="000000"/>
        </w:rPr>
        <w:t>го</w:t>
      </w:r>
      <w:proofErr w:type="spellEnd"/>
      <w:r w:rsidRPr="00DA60D9">
        <w:rPr>
          <w:color w:val="000000"/>
        </w:rPr>
        <w:t xml:space="preserve"> предприятия</w:t>
      </w:r>
      <w:r>
        <w:rPr>
          <w:color w:val="000000"/>
        </w:rPr>
        <w:t xml:space="preserve"> по критерию </w:t>
      </w:r>
      <w:proofErr w:type="spellStart"/>
      <w:r w:rsidRPr="00DA60D9">
        <w:rPr>
          <w:i/>
          <w:color w:val="000000"/>
          <w:lang w:val="en-US"/>
        </w:rPr>
        <w:t>i</w:t>
      </w:r>
      <w:proofErr w:type="spellEnd"/>
      <w:r w:rsidRPr="00DA60D9">
        <w:rPr>
          <w:color w:val="000000"/>
        </w:rPr>
        <w:t>.</w:t>
      </w:r>
    </w:p>
    <w:p w:rsidR="00DA60D9" w:rsidRDefault="00F57373" w:rsidP="00DA60D9">
      <w:pPr>
        <w:pStyle w:val="15"/>
        <w:spacing w:after="0"/>
        <w:ind w:firstLine="708"/>
        <w:contextualSpacing/>
      </w:pPr>
      <w:r w:rsidRPr="00DA60D9">
        <w:t>Величина значения</w:t>
      </w:r>
      <w:r>
        <w:t xml:space="preserve"> ГП определяет позицию, которую занимает поставщик в рейтинге предпочтений.</w:t>
      </w:r>
    </w:p>
    <w:p w:rsidR="005800E8" w:rsidRDefault="005800E8" w:rsidP="00B0650F">
      <w:pPr>
        <w:pStyle w:val="15"/>
        <w:spacing w:after="0"/>
        <w:ind w:firstLine="708"/>
        <w:contextualSpacing/>
      </w:pPr>
      <w:r>
        <w:t xml:space="preserve">После формулирования проблемы в виде иерархической структуры, на основе имеющихся данных </w:t>
      </w:r>
      <w:r w:rsidR="00DE3965">
        <w:t xml:space="preserve">была </w:t>
      </w:r>
      <w:r>
        <w:t>произведе</w:t>
      </w:r>
      <w:r w:rsidR="00DE3965">
        <w:t>на</w:t>
      </w:r>
      <w:r>
        <w:t xml:space="preserve"> оценк</w:t>
      </w:r>
      <w:r w:rsidR="00DE3965">
        <w:t>а</w:t>
      </w:r>
      <w:r>
        <w:t xml:space="preserve"> важности критериев</w:t>
      </w:r>
      <w:r w:rsidR="00DE3965">
        <w:t xml:space="preserve">, </w:t>
      </w:r>
      <w:r w:rsidR="00DE3965">
        <w:t>рассчита</w:t>
      </w:r>
      <w:r w:rsidR="00DE3965">
        <w:t>ны</w:t>
      </w:r>
      <w:r w:rsidR="00DE3965">
        <w:t xml:space="preserve"> векторы приоритетов и произведе</w:t>
      </w:r>
      <w:r w:rsidR="00DE3965">
        <w:t>но</w:t>
      </w:r>
      <w:r w:rsidR="00DE3965">
        <w:t xml:space="preserve"> отношение согласованности</w:t>
      </w:r>
      <w:r w:rsidR="00DE3965">
        <w:t xml:space="preserve">. Полученные результаты представлены </w:t>
      </w:r>
      <w:proofErr w:type="gramStart"/>
      <w:r w:rsidR="00DE3965">
        <w:t xml:space="preserve">в  </w:t>
      </w:r>
      <w:r>
        <w:t>табл</w:t>
      </w:r>
      <w:r w:rsidR="00DE3965">
        <w:t>ице</w:t>
      </w:r>
      <w:proofErr w:type="gramEnd"/>
      <w:r w:rsidR="00DE3965">
        <w:t xml:space="preserve"> 3</w:t>
      </w:r>
      <w:r>
        <w:t xml:space="preserve">. </w:t>
      </w:r>
    </w:p>
    <w:p w:rsidR="00C938F6" w:rsidRPr="00B0650F" w:rsidRDefault="00C938F6" w:rsidP="00DE3965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3</w:t>
      </w:r>
      <w:r w:rsidR="00DE3965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="00DE3965" w:rsidRPr="00DE3965"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 важности критериев</w:t>
      </w:r>
    </w:p>
    <w:tbl>
      <w:tblPr>
        <w:tblStyle w:val="a6"/>
        <w:tblW w:w="4875" w:type="pct"/>
        <w:tblLayout w:type="fixed"/>
        <w:tblLook w:val="04A0" w:firstRow="1" w:lastRow="0" w:firstColumn="1" w:lastColumn="0" w:noHBand="0" w:noVBand="1"/>
      </w:tblPr>
      <w:tblGrid>
        <w:gridCol w:w="1282"/>
        <w:gridCol w:w="954"/>
        <w:gridCol w:w="953"/>
        <w:gridCol w:w="954"/>
        <w:gridCol w:w="952"/>
        <w:gridCol w:w="953"/>
        <w:gridCol w:w="952"/>
        <w:gridCol w:w="953"/>
        <w:gridCol w:w="952"/>
        <w:gridCol w:w="704"/>
      </w:tblGrid>
      <w:tr w:rsidR="00BC28B0" w:rsidRPr="00C938F6" w:rsidTr="00304E59">
        <w:trPr>
          <w:trHeight w:hRule="exact" w:val="1008"/>
        </w:trPr>
        <w:tc>
          <w:tcPr>
            <w:tcW w:w="1281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поставки</w:t>
            </w:r>
          </w:p>
        </w:tc>
        <w:tc>
          <w:tcPr>
            <w:tcW w:w="953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Репутация поставщика</w:t>
            </w:r>
          </w:p>
        </w:tc>
        <w:tc>
          <w:tcPr>
            <w:tcW w:w="954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952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оплаты</w:t>
            </w:r>
          </w:p>
        </w:tc>
        <w:tc>
          <w:tcPr>
            <w:tcW w:w="953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СМК</w:t>
            </w:r>
          </w:p>
        </w:tc>
        <w:tc>
          <w:tcPr>
            <w:tcW w:w="952" w:type="dxa"/>
            <w:vAlign w:val="center"/>
            <w:hideMark/>
          </w:tcPr>
          <w:p w:rsidR="00BC28B0" w:rsidRPr="00E8642C" w:rsidRDefault="00BC28B0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Раннее 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953" w:type="dxa"/>
            <w:vAlign w:val="center"/>
            <w:hideMark/>
          </w:tcPr>
          <w:p w:rsidR="00BC28B0" w:rsidRPr="00E8642C" w:rsidRDefault="005B39E1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52" w:type="dxa"/>
            <w:vAlign w:val="center"/>
            <w:hideMark/>
          </w:tcPr>
          <w:p w:rsidR="00BC28B0" w:rsidRPr="00E8642C" w:rsidRDefault="005B39E1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4" w:type="dxa"/>
            <w:vAlign w:val="center"/>
            <w:hideMark/>
          </w:tcPr>
          <w:p w:rsidR="00BC28B0" w:rsidRPr="00E8642C" w:rsidRDefault="005B39E1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C4439E" w:rsidRPr="00C938F6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поставки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04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0,427</w:t>
            </w:r>
          </w:p>
        </w:tc>
      </w:tr>
      <w:tr w:rsidR="00C4439E" w:rsidRPr="00C938F6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Репутация поставщика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04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</w:tr>
      <w:tr w:rsidR="00C4439E" w:rsidRPr="00C938F6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4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4439E" w:rsidRPr="00C938F6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оплаты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0,00476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04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</w:tr>
      <w:tr w:rsidR="00C4439E" w:rsidRPr="00C938F6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СМК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4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0,145</w:t>
            </w:r>
          </w:p>
        </w:tc>
      </w:tr>
      <w:tr w:rsidR="00C4439E" w:rsidRPr="00C938F6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Раннее 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54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0F5F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0,000083</w:t>
            </w:r>
          </w:p>
        </w:tc>
        <w:tc>
          <w:tcPr>
            <w:tcW w:w="952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4" w:type="dxa"/>
            <w:vAlign w:val="center"/>
            <w:hideMark/>
          </w:tcPr>
          <w:p w:rsidR="00C4439E" w:rsidRPr="00E8642C" w:rsidRDefault="00C4439E" w:rsidP="00C44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</w:tr>
      <w:tr w:rsidR="006E3382" w:rsidRPr="006E3382" w:rsidTr="00304E59">
        <w:trPr>
          <w:trHeight w:hRule="exact" w:val="454"/>
        </w:trPr>
        <w:tc>
          <w:tcPr>
            <w:tcW w:w="1281" w:type="dxa"/>
            <w:vAlign w:val="center"/>
            <w:hideMark/>
          </w:tcPr>
          <w:p w:rsidR="006E3382" w:rsidRPr="00E8642C" w:rsidRDefault="006E3382" w:rsidP="00BC2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4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53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954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952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53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952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3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704" w:type="dxa"/>
            <w:vAlign w:val="center"/>
            <w:hideMark/>
          </w:tcPr>
          <w:p w:rsidR="006E3382" w:rsidRPr="00E8642C" w:rsidRDefault="006E3382" w:rsidP="006E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996" w:rsidRPr="00DE3965" w:rsidRDefault="00DE3965" w:rsidP="00F77EB3">
      <w:pPr>
        <w:pStyle w:val="15"/>
        <w:spacing w:before="120" w:after="0"/>
        <w:contextualSpacing/>
      </w:pPr>
      <w:r w:rsidRPr="00DE3965">
        <w:t>О</w:t>
      </w:r>
      <w:r w:rsidR="006E3382" w:rsidRPr="00DE3965">
        <w:t>тношения согласованности</w:t>
      </w:r>
      <w:r w:rsidRPr="00DE3965">
        <w:t xml:space="preserve"> вы</w:t>
      </w:r>
      <w:r w:rsidR="00E12F42">
        <w:t>числены</w:t>
      </w:r>
      <w:r w:rsidRPr="00DE3965">
        <w:t xml:space="preserve"> по формулам (7)</w:t>
      </w:r>
      <w:r w:rsidR="007A53B0">
        <w:t xml:space="preserve"> </w:t>
      </w:r>
      <w:r w:rsidR="00D10D13">
        <w:t>–</w:t>
      </w:r>
      <w:r w:rsidR="007A53B0">
        <w:t xml:space="preserve"> </w:t>
      </w:r>
      <w:r w:rsidRPr="00DE3965">
        <w:t>(9)</w:t>
      </w:r>
      <w:r w:rsidR="006E3382" w:rsidRPr="00DE3965">
        <w:t xml:space="preserve">: </w:t>
      </w:r>
    </w:p>
    <w:p w:rsidR="00DE3965" w:rsidRDefault="00DE3965" w:rsidP="00F77EB3">
      <w:pPr>
        <w:pStyle w:val="15"/>
        <w:spacing w:before="120" w:after="0"/>
        <w:contextualSpacing/>
        <w:rPr>
          <w:sz w:val="22"/>
          <w:szCs w:val="22"/>
        </w:rPr>
      </w:pPr>
    </w:p>
    <w:p w:rsidR="006E3382" w:rsidRDefault="005B39E1" w:rsidP="00DE3965">
      <w:pPr>
        <w:pStyle w:val="15"/>
        <w:spacing w:after="0"/>
        <w:ind w:firstLine="0"/>
        <w:contextualSpacing/>
        <w:jc w:val="center"/>
        <w:rPr>
          <w:i/>
          <w:color w:val="0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6E3382" w:rsidRPr="00DE3965">
        <w:rPr>
          <w:i/>
          <w:szCs w:val="22"/>
        </w:rPr>
        <w:t>= 6.4</w:t>
      </w:r>
      <w:r w:rsidR="0060552D" w:rsidRPr="00DE3965">
        <w:rPr>
          <w:i/>
          <w:szCs w:val="22"/>
        </w:rPr>
        <w:t>86932</w:t>
      </w:r>
      <w:proofErr w:type="gramStart"/>
      <w:r w:rsidR="006E3382" w:rsidRPr="00DE3965">
        <w:rPr>
          <w:i/>
          <w:szCs w:val="22"/>
        </w:rPr>
        <w:t xml:space="preserve">; </w:t>
      </w:r>
      <w:r w:rsidR="001B37FD" w:rsidRPr="00DE3965">
        <w:rPr>
          <w:i/>
          <w:szCs w:val="22"/>
        </w:rPr>
        <w:t xml:space="preserve"> </w:t>
      </w:r>
      <w:r w:rsidR="006E3382" w:rsidRPr="00DE3965">
        <w:rPr>
          <w:i/>
          <w:szCs w:val="22"/>
        </w:rPr>
        <w:t>ИС</w:t>
      </w:r>
      <w:proofErr w:type="gramEnd"/>
      <w:r w:rsidR="006E3382" w:rsidRPr="00DE3965">
        <w:rPr>
          <w:i/>
          <w:szCs w:val="22"/>
        </w:rPr>
        <w:t xml:space="preserve"> = </w:t>
      </w:r>
      <w:r w:rsidR="00152996" w:rsidRPr="00DE3965">
        <w:rPr>
          <w:i/>
          <w:color w:val="000000"/>
          <w:szCs w:val="22"/>
        </w:rPr>
        <w:t>0,097386</w:t>
      </w:r>
      <w:r w:rsidR="006E3382" w:rsidRPr="00DE3965">
        <w:rPr>
          <w:i/>
          <w:szCs w:val="22"/>
        </w:rPr>
        <w:t>;</w:t>
      </w:r>
      <w:r w:rsidR="001B37FD" w:rsidRPr="00DE3965">
        <w:rPr>
          <w:i/>
          <w:szCs w:val="22"/>
        </w:rPr>
        <w:t xml:space="preserve">  </w:t>
      </w:r>
      <w:r w:rsidR="006E3382" w:rsidRPr="00DE3965">
        <w:rPr>
          <w:i/>
          <w:szCs w:val="22"/>
        </w:rPr>
        <w:t xml:space="preserve">ОС = </w:t>
      </w:r>
      <w:r w:rsidR="00152996" w:rsidRPr="00DE3965">
        <w:rPr>
          <w:i/>
          <w:color w:val="000000"/>
          <w:szCs w:val="22"/>
        </w:rPr>
        <w:t>0,078537</w:t>
      </w:r>
      <w:r w:rsidR="00152996" w:rsidRPr="00DE3965">
        <w:rPr>
          <w:i/>
          <w:color w:val="000000"/>
        </w:rPr>
        <w:t>.</w:t>
      </w:r>
    </w:p>
    <w:p w:rsidR="00DE3965" w:rsidRPr="00DE3965" w:rsidRDefault="00DE3965" w:rsidP="00DE3965">
      <w:pPr>
        <w:pStyle w:val="15"/>
        <w:spacing w:after="0"/>
        <w:ind w:firstLine="0"/>
        <w:contextualSpacing/>
        <w:jc w:val="center"/>
        <w:rPr>
          <w:i/>
          <w:szCs w:val="22"/>
        </w:rPr>
      </w:pPr>
    </w:p>
    <w:p w:rsidR="00747C52" w:rsidRDefault="00DE3965" w:rsidP="00CF6F46">
      <w:pPr>
        <w:pStyle w:val="15"/>
        <w:spacing w:after="0"/>
        <w:contextualSpacing/>
      </w:pPr>
      <w:r>
        <w:rPr>
          <w:szCs w:val="22"/>
        </w:rPr>
        <w:t>Так как о</w:t>
      </w:r>
      <w:r w:rsidR="006E3382" w:rsidRPr="00152996">
        <w:rPr>
          <w:szCs w:val="22"/>
        </w:rPr>
        <w:t>тношение</w:t>
      </w:r>
      <w:r w:rsidR="006E3382" w:rsidRPr="00152996">
        <w:rPr>
          <w:sz w:val="28"/>
        </w:rPr>
        <w:t xml:space="preserve"> </w:t>
      </w:r>
      <w:r w:rsidR="006E3382">
        <w:t>согласованности не превышает 10%, следовательно, нет необходимости в уточнении данных.</w:t>
      </w:r>
    </w:p>
    <w:p w:rsidR="00E56307" w:rsidRDefault="00CF6F46" w:rsidP="00CF6F46">
      <w:pPr>
        <w:pStyle w:val="15"/>
        <w:spacing w:after="0"/>
        <w:contextualSpacing/>
      </w:pPr>
      <w:r>
        <w:lastRenderedPageBreak/>
        <w:t>Результаты выявлен</w:t>
      </w:r>
      <w:r w:rsidR="00013D09">
        <w:t>ных</w:t>
      </w:r>
      <w:r>
        <w:t xml:space="preserve"> п</w:t>
      </w:r>
      <w:r w:rsidR="00E56307">
        <w:t>риоритет</w:t>
      </w:r>
      <w:r>
        <w:t>ов</w:t>
      </w:r>
      <w:r w:rsidR="001B37FD">
        <w:t xml:space="preserve"> поставщиков</w:t>
      </w:r>
      <w:r w:rsidR="00E56307">
        <w:t xml:space="preserve"> по каждому из критериев </w:t>
      </w:r>
      <w:r>
        <w:t xml:space="preserve">представлены в </w:t>
      </w:r>
      <w:r w:rsidR="00E56307">
        <w:t>таблиц</w:t>
      </w:r>
      <w:r>
        <w:t>ах</w:t>
      </w:r>
      <w:r w:rsidR="00E56307">
        <w:t xml:space="preserve"> </w:t>
      </w:r>
      <w:r w:rsidR="001B37FD">
        <w:t>4-</w:t>
      </w:r>
      <w:r w:rsidR="008A7BDC">
        <w:t>9</w:t>
      </w:r>
      <w:r w:rsidR="001B37FD">
        <w:t>.</w:t>
      </w:r>
    </w:p>
    <w:p w:rsidR="001B37FD" w:rsidRPr="00B0650F" w:rsidRDefault="001B37FD" w:rsidP="00147047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4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 значимости поставщиков по критерию «Стоимость поставки»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63"/>
        <w:gridCol w:w="1823"/>
        <w:gridCol w:w="1194"/>
        <w:gridCol w:w="1194"/>
        <w:gridCol w:w="1194"/>
        <w:gridCol w:w="1194"/>
        <w:gridCol w:w="1193"/>
      </w:tblGrid>
      <w:tr w:rsidR="001B37FD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1B37FD" w:rsidRPr="00E8642C" w:rsidRDefault="001B37FD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  <w:hideMark/>
          </w:tcPr>
          <w:p w:rsidR="001B37FD" w:rsidRPr="00E8642C" w:rsidRDefault="001B37FD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5" w:type="pct"/>
            <w:vAlign w:val="center"/>
            <w:hideMark/>
          </w:tcPr>
          <w:p w:rsidR="001B37FD" w:rsidRPr="00E8642C" w:rsidRDefault="001B37FD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«ТЖБИ»</w:t>
            </w:r>
          </w:p>
        </w:tc>
        <w:tc>
          <w:tcPr>
            <w:tcW w:w="615" w:type="pct"/>
            <w:vAlign w:val="center"/>
            <w:hideMark/>
          </w:tcPr>
          <w:p w:rsidR="001B37FD" w:rsidRPr="00E8642C" w:rsidRDefault="001B37FD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615" w:type="pct"/>
            <w:vAlign w:val="center"/>
            <w:hideMark/>
          </w:tcPr>
          <w:p w:rsidR="001B37FD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15" w:type="pct"/>
            <w:vAlign w:val="center"/>
            <w:hideMark/>
          </w:tcPr>
          <w:p w:rsidR="001B37FD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4" w:type="pct"/>
            <w:vAlign w:val="center"/>
            <w:hideMark/>
          </w:tcPr>
          <w:p w:rsidR="001B37FD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A94B0C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9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C62A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  <w:r w:rsidR="00C62A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94B0C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«ТЖБИ»</w:t>
            </w:r>
          </w:p>
        </w:tc>
        <w:tc>
          <w:tcPr>
            <w:tcW w:w="869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62AFF"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  <w:r w:rsidR="00C62A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  <w:r w:rsidR="00C62A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94B0C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869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C62AFF" w:rsidP="00C6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  <w:r w:rsidR="00C62A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  <w:r w:rsidR="00C62A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94B0C" w:rsidRPr="006E3382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9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  <w:r w:rsidR="00C62A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37FD" w:rsidRPr="00147047" w:rsidRDefault="005B39E1" w:rsidP="00147047">
      <w:pPr>
        <w:pStyle w:val="15"/>
        <w:spacing w:before="120" w:after="0"/>
        <w:ind w:firstLine="0"/>
        <w:contextualSpacing/>
        <w:jc w:val="center"/>
        <w:rPr>
          <w:i/>
          <w:color w:val="0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4D5679" w:rsidRPr="00147047">
        <w:rPr>
          <w:i/>
          <w:szCs w:val="22"/>
        </w:rPr>
        <w:t>= 3,</w:t>
      </w:r>
      <w:proofErr w:type="gramStart"/>
      <w:r w:rsidR="004D5679" w:rsidRPr="00147047">
        <w:rPr>
          <w:i/>
          <w:szCs w:val="22"/>
        </w:rPr>
        <w:t>053622</w:t>
      </w:r>
      <w:r w:rsidR="001B37FD" w:rsidRPr="00147047">
        <w:rPr>
          <w:i/>
          <w:szCs w:val="22"/>
        </w:rPr>
        <w:t>;  ИС</w:t>
      </w:r>
      <w:proofErr w:type="gramEnd"/>
      <w:r w:rsidR="001B37FD" w:rsidRPr="00147047">
        <w:rPr>
          <w:i/>
          <w:szCs w:val="22"/>
        </w:rPr>
        <w:t xml:space="preserve"> = </w:t>
      </w:r>
      <w:r w:rsidR="001B37FD" w:rsidRPr="00147047">
        <w:rPr>
          <w:i/>
          <w:color w:val="000000"/>
          <w:szCs w:val="22"/>
        </w:rPr>
        <w:t>0,</w:t>
      </w:r>
      <w:r w:rsidR="004D5679" w:rsidRPr="00147047">
        <w:rPr>
          <w:i/>
          <w:color w:val="000000"/>
          <w:szCs w:val="22"/>
        </w:rPr>
        <w:t>026811</w:t>
      </w:r>
      <w:r w:rsidR="001B37FD" w:rsidRPr="00147047">
        <w:rPr>
          <w:i/>
          <w:szCs w:val="22"/>
        </w:rPr>
        <w:t xml:space="preserve">;  ОС = </w:t>
      </w:r>
      <w:r w:rsidR="001B37FD" w:rsidRPr="00147047">
        <w:rPr>
          <w:i/>
          <w:color w:val="000000"/>
          <w:szCs w:val="22"/>
        </w:rPr>
        <w:t>0,0</w:t>
      </w:r>
      <w:r w:rsidR="004D5679" w:rsidRPr="00147047">
        <w:rPr>
          <w:i/>
          <w:color w:val="000000"/>
          <w:szCs w:val="22"/>
        </w:rPr>
        <w:t>462</w:t>
      </w:r>
      <w:r w:rsidR="00C62AFF" w:rsidRPr="00147047">
        <w:rPr>
          <w:i/>
          <w:color w:val="000000"/>
          <w:szCs w:val="22"/>
        </w:rPr>
        <w:t>3</w:t>
      </w:r>
      <w:r w:rsidR="001B37FD" w:rsidRPr="00147047">
        <w:rPr>
          <w:i/>
          <w:color w:val="000000"/>
        </w:rPr>
        <w:t>.</w:t>
      </w:r>
    </w:p>
    <w:p w:rsidR="002074E6" w:rsidRPr="00B0650F" w:rsidRDefault="002074E6" w:rsidP="00147047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Таблица </w:t>
      </w:r>
      <w:r w:rsidR="007F61E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5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proofErr w:type="gramStart"/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значимости поставщиков по критерию «</w:t>
      </w:r>
      <w:r w:rsidR="008F3AE2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Репутация поставщика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63"/>
        <w:gridCol w:w="1823"/>
        <w:gridCol w:w="1194"/>
        <w:gridCol w:w="1194"/>
        <w:gridCol w:w="1194"/>
        <w:gridCol w:w="1194"/>
        <w:gridCol w:w="1193"/>
      </w:tblGrid>
      <w:tr w:rsidR="002074E6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2074E6" w:rsidRPr="00E8642C" w:rsidRDefault="002074E6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  <w:hideMark/>
          </w:tcPr>
          <w:p w:rsidR="002074E6" w:rsidRPr="00E8642C" w:rsidRDefault="002074E6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5" w:type="pct"/>
            <w:vAlign w:val="center"/>
            <w:hideMark/>
          </w:tcPr>
          <w:p w:rsidR="002074E6" w:rsidRPr="00E8642C" w:rsidRDefault="002074E6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«ТЖБИ»</w:t>
            </w:r>
          </w:p>
        </w:tc>
        <w:tc>
          <w:tcPr>
            <w:tcW w:w="615" w:type="pct"/>
            <w:vAlign w:val="center"/>
            <w:hideMark/>
          </w:tcPr>
          <w:p w:rsidR="002074E6" w:rsidRPr="00E8642C" w:rsidRDefault="002074E6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615" w:type="pct"/>
            <w:vAlign w:val="center"/>
            <w:hideMark/>
          </w:tcPr>
          <w:p w:rsidR="002074E6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15" w:type="pct"/>
            <w:vAlign w:val="center"/>
            <w:hideMark/>
          </w:tcPr>
          <w:p w:rsidR="002074E6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4" w:type="pct"/>
            <w:vAlign w:val="center"/>
            <w:hideMark/>
          </w:tcPr>
          <w:p w:rsidR="002074E6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A94B0C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F3AE2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F3AE2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34CFF" w:rsidP="00A94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34CFF" w:rsidP="00A94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83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34C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</w:tr>
      <w:tr w:rsidR="00A94B0C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 БИ»</w:t>
            </w:r>
          </w:p>
        </w:tc>
        <w:tc>
          <w:tcPr>
            <w:tcW w:w="868" w:type="pct"/>
            <w:vAlign w:val="center"/>
            <w:hideMark/>
          </w:tcPr>
          <w:p w:rsidR="00A94B0C" w:rsidRPr="00E8642C" w:rsidRDefault="008F3AE2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8F3A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8F3AE2"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83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34C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83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34C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83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34C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A94B0C" w:rsidRPr="00C938F6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868" w:type="pct"/>
            <w:vAlign w:val="center"/>
            <w:hideMark/>
          </w:tcPr>
          <w:p w:rsidR="00A94B0C" w:rsidRPr="00E8642C" w:rsidRDefault="008F3AE2" w:rsidP="008F3A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F3AE2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34CFF" w:rsidP="00A94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34CFF" w:rsidP="00A94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3,419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83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34C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</w:tr>
      <w:tr w:rsidR="00A94B0C" w:rsidRPr="006E3382" w:rsidTr="00A94B0C">
        <w:trPr>
          <w:trHeight w:val="414"/>
        </w:trPr>
        <w:tc>
          <w:tcPr>
            <w:tcW w:w="1056" w:type="pct"/>
            <w:vAlign w:val="center"/>
            <w:hideMark/>
          </w:tcPr>
          <w:p w:rsidR="00A94B0C" w:rsidRPr="00E8642C" w:rsidRDefault="00A94B0C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8" w:type="pct"/>
            <w:vAlign w:val="center"/>
            <w:hideMark/>
          </w:tcPr>
          <w:p w:rsidR="00A94B0C" w:rsidRPr="00E8642C" w:rsidRDefault="00834C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34C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834C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A94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  <w:hideMark/>
          </w:tcPr>
          <w:p w:rsidR="00A94B0C" w:rsidRPr="00E8642C" w:rsidRDefault="00A94B0C" w:rsidP="0083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834CFF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14" w:type="pct"/>
            <w:vAlign w:val="center"/>
            <w:hideMark/>
          </w:tcPr>
          <w:p w:rsidR="00A94B0C" w:rsidRPr="00E8642C" w:rsidRDefault="00A94B0C" w:rsidP="00A94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74E6" w:rsidRDefault="005B39E1" w:rsidP="00147047">
      <w:pPr>
        <w:pStyle w:val="15"/>
        <w:spacing w:before="120" w:after="0"/>
        <w:ind w:firstLine="0"/>
        <w:contextualSpacing/>
        <w:jc w:val="center"/>
        <w:rPr>
          <w:color w:val="000000"/>
          <w:szCs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2074E6" w:rsidRPr="00147047">
        <w:rPr>
          <w:i/>
          <w:szCs w:val="22"/>
        </w:rPr>
        <w:t>= 3,</w:t>
      </w:r>
      <w:proofErr w:type="gramStart"/>
      <w:r w:rsidR="002074E6" w:rsidRPr="00147047">
        <w:rPr>
          <w:i/>
          <w:szCs w:val="22"/>
        </w:rPr>
        <w:t>0</w:t>
      </w:r>
      <w:r w:rsidR="00834CFF" w:rsidRPr="00147047">
        <w:rPr>
          <w:i/>
          <w:szCs w:val="22"/>
        </w:rPr>
        <w:t>94015</w:t>
      </w:r>
      <w:r w:rsidR="002074E6" w:rsidRPr="00147047">
        <w:rPr>
          <w:i/>
          <w:szCs w:val="22"/>
        </w:rPr>
        <w:t>;  ИС</w:t>
      </w:r>
      <w:proofErr w:type="gramEnd"/>
      <w:r w:rsidR="002074E6" w:rsidRPr="00147047">
        <w:rPr>
          <w:i/>
          <w:szCs w:val="22"/>
        </w:rPr>
        <w:t xml:space="preserve"> = </w:t>
      </w:r>
      <w:r w:rsidR="002074E6" w:rsidRPr="00147047">
        <w:rPr>
          <w:i/>
          <w:color w:val="000000"/>
          <w:szCs w:val="22"/>
        </w:rPr>
        <w:t>0,</w:t>
      </w:r>
      <w:r w:rsidR="00834CFF" w:rsidRPr="00147047">
        <w:rPr>
          <w:i/>
          <w:color w:val="000000"/>
          <w:szCs w:val="22"/>
        </w:rPr>
        <w:t>047008</w:t>
      </w:r>
      <w:r w:rsidR="002074E6" w:rsidRPr="00147047">
        <w:rPr>
          <w:i/>
          <w:szCs w:val="22"/>
        </w:rPr>
        <w:t xml:space="preserve">;  ОС = </w:t>
      </w:r>
      <w:r w:rsidR="002074E6" w:rsidRPr="00147047">
        <w:rPr>
          <w:i/>
          <w:color w:val="000000"/>
          <w:szCs w:val="22"/>
        </w:rPr>
        <w:t>0,</w:t>
      </w:r>
      <w:r w:rsidR="00834CFF" w:rsidRPr="00147047">
        <w:rPr>
          <w:i/>
          <w:color w:val="000000"/>
          <w:szCs w:val="22"/>
        </w:rPr>
        <w:t>08105</w:t>
      </w:r>
      <w:r w:rsidR="00834CFF">
        <w:rPr>
          <w:color w:val="000000"/>
          <w:szCs w:val="22"/>
        </w:rPr>
        <w:t>.</w:t>
      </w:r>
    </w:p>
    <w:p w:rsidR="00C62AFF" w:rsidRPr="00B0650F" w:rsidRDefault="00C62AFF" w:rsidP="00147047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Таблица </w:t>
      </w:r>
      <w:r w:rsidR="008A7BDC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6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 значимости поставщиков по критерию «Срок поставки»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63"/>
        <w:gridCol w:w="1823"/>
        <w:gridCol w:w="1194"/>
        <w:gridCol w:w="1194"/>
        <w:gridCol w:w="1194"/>
        <w:gridCol w:w="1194"/>
        <w:gridCol w:w="1193"/>
      </w:tblGrid>
      <w:tr w:rsidR="00C62AFF" w:rsidRPr="00C938F6" w:rsidTr="00C62AFF">
        <w:trPr>
          <w:trHeight w:val="414"/>
        </w:trPr>
        <w:tc>
          <w:tcPr>
            <w:tcW w:w="1056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«ТЖБИ»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15" w:type="pct"/>
            <w:vAlign w:val="center"/>
            <w:hideMark/>
          </w:tcPr>
          <w:p w:rsidR="00C62AFF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4" w:type="pct"/>
            <w:vAlign w:val="center"/>
            <w:hideMark/>
          </w:tcPr>
          <w:p w:rsidR="00C62AFF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C62AFF" w:rsidRPr="00C938F6" w:rsidTr="00C62AFF">
        <w:trPr>
          <w:trHeight w:val="414"/>
        </w:trPr>
        <w:tc>
          <w:tcPr>
            <w:tcW w:w="1056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9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2,885</w:t>
            </w:r>
          </w:p>
        </w:tc>
        <w:tc>
          <w:tcPr>
            <w:tcW w:w="614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0,661</w:t>
            </w:r>
          </w:p>
        </w:tc>
      </w:tr>
      <w:tr w:rsidR="00C62AFF" w:rsidRPr="00C938F6" w:rsidTr="00C62AFF">
        <w:trPr>
          <w:trHeight w:val="414"/>
        </w:trPr>
        <w:tc>
          <w:tcPr>
            <w:tcW w:w="1056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 БИ»</w:t>
            </w:r>
          </w:p>
        </w:tc>
        <w:tc>
          <w:tcPr>
            <w:tcW w:w="869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614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</w:tr>
      <w:tr w:rsidR="00C62AFF" w:rsidRPr="00C938F6" w:rsidTr="00C62AFF">
        <w:trPr>
          <w:trHeight w:val="414"/>
        </w:trPr>
        <w:tc>
          <w:tcPr>
            <w:tcW w:w="1056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869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1,186</w:t>
            </w:r>
          </w:p>
        </w:tc>
        <w:tc>
          <w:tcPr>
            <w:tcW w:w="614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0,272</w:t>
            </w:r>
          </w:p>
        </w:tc>
      </w:tr>
      <w:tr w:rsidR="00C62AFF" w:rsidRPr="006E3382" w:rsidTr="00C62AFF">
        <w:trPr>
          <w:trHeight w:val="414"/>
        </w:trPr>
        <w:tc>
          <w:tcPr>
            <w:tcW w:w="1056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9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  <w:r w:rsidR="006F3DDA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vAlign w:val="center"/>
            <w:hideMark/>
          </w:tcPr>
          <w:p w:rsidR="00C62AFF" w:rsidRPr="00E8642C" w:rsidRDefault="00C62AFF" w:rsidP="00C6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2AFF" w:rsidRPr="00B30956" w:rsidRDefault="005B39E1" w:rsidP="00B30956">
      <w:pPr>
        <w:pStyle w:val="15"/>
        <w:spacing w:before="120" w:after="0"/>
        <w:ind w:firstLine="0"/>
        <w:contextualSpacing/>
        <w:jc w:val="center"/>
        <w:rPr>
          <w:i/>
          <w:color w:val="000000"/>
          <w:szCs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C62AFF" w:rsidRPr="00B30956">
        <w:rPr>
          <w:i/>
          <w:szCs w:val="22"/>
        </w:rPr>
        <w:t>= 3,</w:t>
      </w:r>
      <w:proofErr w:type="gramStart"/>
      <w:r w:rsidR="00C62AFF" w:rsidRPr="00B30956">
        <w:rPr>
          <w:i/>
          <w:szCs w:val="22"/>
        </w:rPr>
        <w:t>044066;  ИС</w:t>
      </w:r>
      <w:proofErr w:type="gramEnd"/>
      <w:r w:rsidR="00C62AFF" w:rsidRPr="00B30956">
        <w:rPr>
          <w:i/>
          <w:szCs w:val="22"/>
        </w:rPr>
        <w:t xml:space="preserve"> = </w:t>
      </w:r>
      <w:r w:rsidR="00C62AFF" w:rsidRPr="00B30956">
        <w:rPr>
          <w:i/>
          <w:color w:val="000000"/>
          <w:szCs w:val="22"/>
        </w:rPr>
        <w:t>0,022033</w:t>
      </w:r>
      <w:r w:rsidR="00D60AA1" w:rsidRPr="00B30956">
        <w:rPr>
          <w:i/>
          <w:color w:val="000000"/>
          <w:szCs w:val="22"/>
        </w:rPr>
        <w:t>;</w:t>
      </w:r>
      <w:r w:rsidR="00C62AFF" w:rsidRPr="00B30956">
        <w:rPr>
          <w:i/>
          <w:szCs w:val="22"/>
        </w:rPr>
        <w:t xml:space="preserve">  ОС = </w:t>
      </w:r>
      <w:r w:rsidR="00C62AFF" w:rsidRPr="00B30956">
        <w:rPr>
          <w:i/>
          <w:color w:val="000000"/>
          <w:szCs w:val="22"/>
        </w:rPr>
        <w:t>0,03799.</w:t>
      </w:r>
    </w:p>
    <w:p w:rsidR="00F77EB3" w:rsidRPr="00B0650F" w:rsidRDefault="00F77EB3" w:rsidP="00147047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Таблица </w:t>
      </w:r>
      <w:r w:rsidR="008A7BDC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7</w:t>
      </w:r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 значимости поставщиков по критерию «</w:t>
      </w:r>
      <w:r w:rsidR="006F3DDA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Условия оплаты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63"/>
        <w:gridCol w:w="1823"/>
        <w:gridCol w:w="1194"/>
        <w:gridCol w:w="1194"/>
        <w:gridCol w:w="1194"/>
        <w:gridCol w:w="1194"/>
        <w:gridCol w:w="1193"/>
      </w:tblGrid>
      <w:tr w:rsidR="00F77EB3" w:rsidRPr="00C938F6" w:rsidTr="003819F8">
        <w:trPr>
          <w:trHeight w:val="414"/>
        </w:trPr>
        <w:tc>
          <w:tcPr>
            <w:tcW w:w="1056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«ТЖБИ»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15" w:type="pct"/>
            <w:vAlign w:val="center"/>
            <w:hideMark/>
          </w:tcPr>
          <w:p w:rsidR="00F77EB3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4" w:type="pct"/>
            <w:vAlign w:val="center"/>
            <w:hideMark/>
          </w:tcPr>
          <w:p w:rsidR="00F77EB3" w:rsidRPr="00E8642C" w:rsidRDefault="005B39E1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F77EB3" w:rsidRPr="00C938F6" w:rsidTr="003819F8">
        <w:trPr>
          <w:trHeight w:val="414"/>
        </w:trPr>
        <w:tc>
          <w:tcPr>
            <w:tcW w:w="1056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9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0,928</w:t>
            </w:r>
          </w:p>
        </w:tc>
        <w:tc>
          <w:tcPr>
            <w:tcW w:w="614" w:type="pct"/>
            <w:vAlign w:val="center"/>
            <w:hideMark/>
          </w:tcPr>
          <w:p w:rsidR="00F77EB3" w:rsidRPr="00E8642C" w:rsidRDefault="00F77EB3" w:rsidP="006F3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F3DDA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F77EB3" w:rsidRPr="00C938F6" w:rsidTr="003819F8">
        <w:trPr>
          <w:trHeight w:val="414"/>
        </w:trPr>
        <w:tc>
          <w:tcPr>
            <w:tcW w:w="1056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 БИ»</w:t>
            </w:r>
          </w:p>
        </w:tc>
        <w:tc>
          <w:tcPr>
            <w:tcW w:w="869" w:type="pct"/>
            <w:vAlign w:val="center"/>
            <w:hideMark/>
          </w:tcPr>
          <w:p w:rsidR="00F77EB3" w:rsidRPr="00E8642C" w:rsidRDefault="006F3DDA" w:rsidP="006F3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3,557</w:t>
            </w:r>
          </w:p>
        </w:tc>
        <w:tc>
          <w:tcPr>
            <w:tcW w:w="614" w:type="pct"/>
            <w:vAlign w:val="center"/>
            <w:hideMark/>
          </w:tcPr>
          <w:p w:rsidR="00F77EB3" w:rsidRPr="00E8642C" w:rsidRDefault="00F77EB3" w:rsidP="006F3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F3DDA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</w:tr>
      <w:tr w:rsidR="00F77EB3" w:rsidRPr="00C938F6" w:rsidTr="003819F8">
        <w:trPr>
          <w:trHeight w:val="414"/>
        </w:trPr>
        <w:tc>
          <w:tcPr>
            <w:tcW w:w="1056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869" w:type="pct"/>
            <w:vAlign w:val="center"/>
            <w:hideMark/>
          </w:tcPr>
          <w:p w:rsidR="00F77EB3" w:rsidRPr="00E8642C" w:rsidRDefault="00F77EB3" w:rsidP="006F3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3DDA"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6F3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6F3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614" w:type="pct"/>
            <w:vAlign w:val="center"/>
            <w:hideMark/>
          </w:tcPr>
          <w:p w:rsidR="00F77EB3" w:rsidRPr="00E8642C" w:rsidRDefault="006F3DDA" w:rsidP="006F3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</w:tr>
      <w:tr w:rsidR="00F77EB3" w:rsidRPr="006E3382" w:rsidTr="003819F8">
        <w:trPr>
          <w:trHeight w:val="414"/>
        </w:trPr>
        <w:tc>
          <w:tcPr>
            <w:tcW w:w="1056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9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6F3DDA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  <w:hideMark/>
          </w:tcPr>
          <w:p w:rsidR="00F77EB3" w:rsidRPr="00E8642C" w:rsidRDefault="00F77EB3" w:rsidP="006F3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6F3DDA"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14" w:type="pct"/>
            <w:vAlign w:val="center"/>
            <w:hideMark/>
          </w:tcPr>
          <w:p w:rsidR="00F77EB3" w:rsidRPr="00E8642C" w:rsidRDefault="00F77EB3" w:rsidP="00381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7EB3" w:rsidRDefault="005B39E1" w:rsidP="00B30956">
      <w:pPr>
        <w:pStyle w:val="15"/>
        <w:spacing w:before="120" w:after="0"/>
        <w:ind w:firstLine="0"/>
        <w:contextualSpacing/>
        <w:jc w:val="center"/>
        <w:rPr>
          <w:color w:val="000000"/>
          <w:szCs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F77EB3" w:rsidRPr="00B30956">
        <w:rPr>
          <w:i/>
          <w:szCs w:val="22"/>
        </w:rPr>
        <w:t>= 3,</w:t>
      </w:r>
      <w:proofErr w:type="gramStart"/>
      <w:r w:rsidR="00D60AA1" w:rsidRPr="00B30956">
        <w:rPr>
          <w:i/>
          <w:szCs w:val="22"/>
        </w:rPr>
        <w:t>071265;</w:t>
      </w:r>
      <w:r w:rsidR="00F77EB3" w:rsidRPr="00B30956">
        <w:rPr>
          <w:i/>
          <w:szCs w:val="22"/>
        </w:rPr>
        <w:t xml:space="preserve">  ИС</w:t>
      </w:r>
      <w:proofErr w:type="gramEnd"/>
      <w:r w:rsidR="00F77EB3" w:rsidRPr="00B30956">
        <w:rPr>
          <w:i/>
          <w:szCs w:val="22"/>
        </w:rPr>
        <w:t xml:space="preserve"> = </w:t>
      </w:r>
      <w:r w:rsidR="00F77EB3" w:rsidRPr="00B30956">
        <w:rPr>
          <w:i/>
          <w:color w:val="000000"/>
          <w:szCs w:val="22"/>
        </w:rPr>
        <w:t>0,0</w:t>
      </w:r>
      <w:r w:rsidR="00D60AA1" w:rsidRPr="00B30956">
        <w:rPr>
          <w:i/>
          <w:color w:val="000000"/>
          <w:szCs w:val="22"/>
        </w:rPr>
        <w:t>35633;</w:t>
      </w:r>
      <w:r w:rsidR="00F77EB3" w:rsidRPr="00B30956">
        <w:rPr>
          <w:i/>
          <w:szCs w:val="22"/>
        </w:rPr>
        <w:t xml:space="preserve">  ОС = </w:t>
      </w:r>
      <w:r w:rsidR="00F77EB3" w:rsidRPr="00B30956">
        <w:rPr>
          <w:i/>
          <w:color w:val="000000"/>
          <w:szCs w:val="22"/>
        </w:rPr>
        <w:t>0,</w:t>
      </w:r>
      <w:r w:rsidR="00D60AA1" w:rsidRPr="00B30956">
        <w:rPr>
          <w:i/>
          <w:color w:val="000000"/>
          <w:szCs w:val="22"/>
        </w:rPr>
        <w:t>06144</w:t>
      </w:r>
      <w:r w:rsidR="00D60AA1">
        <w:rPr>
          <w:color w:val="000000"/>
          <w:szCs w:val="22"/>
        </w:rPr>
        <w:t>.</w:t>
      </w:r>
    </w:p>
    <w:p w:rsidR="0034703E" w:rsidRPr="00B0650F" w:rsidRDefault="0034703E" w:rsidP="00147047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Таблица </w:t>
      </w:r>
      <w:r w:rsidR="008A7BDC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8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proofErr w:type="gramStart"/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значимости поставщиков по критерию «Наличие СМК»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63"/>
        <w:gridCol w:w="1823"/>
        <w:gridCol w:w="1194"/>
        <w:gridCol w:w="1194"/>
        <w:gridCol w:w="1194"/>
        <w:gridCol w:w="1194"/>
        <w:gridCol w:w="1193"/>
      </w:tblGrid>
      <w:tr w:rsidR="0034703E" w:rsidRPr="00C938F6" w:rsidTr="005B39E1">
        <w:trPr>
          <w:trHeight w:val="414"/>
        </w:trPr>
        <w:tc>
          <w:tcPr>
            <w:tcW w:w="1056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«ТЖБИ»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5B39E1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15" w:type="pct"/>
            <w:vAlign w:val="center"/>
            <w:hideMark/>
          </w:tcPr>
          <w:p w:rsidR="0034703E" w:rsidRPr="00E8642C" w:rsidRDefault="005B39E1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4" w:type="pct"/>
            <w:vAlign w:val="center"/>
            <w:hideMark/>
          </w:tcPr>
          <w:p w:rsidR="0034703E" w:rsidRPr="00E8642C" w:rsidRDefault="005B39E1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34703E" w:rsidRPr="00C938F6" w:rsidTr="0034703E">
        <w:trPr>
          <w:trHeight w:val="414"/>
        </w:trPr>
        <w:tc>
          <w:tcPr>
            <w:tcW w:w="1056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9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614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</w:tr>
      <w:tr w:rsidR="0034703E" w:rsidRPr="00C938F6" w:rsidTr="0034703E">
        <w:trPr>
          <w:trHeight w:val="414"/>
        </w:trPr>
        <w:tc>
          <w:tcPr>
            <w:tcW w:w="1056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 БИ»</w:t>
            </w:r>
          </w:p>
        </w:tc>
        <w:tc>
          <w:tcPr>
            <w:tcW w:w="869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0965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3,634</w:t>
            </w:r>
          </w:p>
        </w:tc>
        <w:tc>
          <w:tcPr>
            <w:tcW w:w="614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0,761</w:t>
            </w:r>
          </w:p>
        </w:tc>
      </w:tr>
      <w:tr w:rsidR="0034703E" w:rsidRPr="00C938F6" w:rsidTr="0034703E">
        <w:trPr>
          <w:trHeight w:val="414"/>
        </w:trPr>
        <w:tc>
          <w:tcPr>
            <w:tcW w:w="1056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«КСМ»</w:t>
            </w:r>
          </w:p>
        </w:tc>
        <w:tc>
          <w:tcPr>
            <w:tcW w:w="869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0965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614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</w:tr>
      <w:tr w:rsidR="0034703E" w:rsidRPr="006E3382" w:rsidTr="0034703E">
        <w:trPr>
          <w:trHeight w:val="414"/>
        </w:trPr>
        <w:tc>
          <w:tcPr>
            <w:tcW w:w="1056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4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9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5B39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4,775</w:t>
            </w:r>
          </w:p>
        </w:tc>
        <w:tc>
          <w:tcPr>
            <w:tcW w:w="614" w:type="pct"/>
            <w:vAlign w:val="center"/>
            <w:hideMark/>
          </w:tcPr>
          <w:p w:rsidR="0034703E" w:rsidRPr="00E8642C" w:rsidRDefault="0034703E" w:rsidP="00347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703E" w:rsidRPr="00B30956" w:rsidRDefault="005B39E1" w:rsidP="00B30956">
      <w:pPr>
        <w:pStyle w:val="15"/>
        <w:spacing w:before="120" w:after="0"/>
        <w:ind w:firstLine="0"/>
        <w:contextualSpacing/>
        <w:jc w:val="center"/>
        <w:rPr>
          <w:i/>
          <w:color w:val="000000"/>
          <w:szCs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34703E" w:rsidRPr="00B30956">
        <w:rPr>
          <w:i/>
          <w:szCs w:val="22"/>
        </w:rPr>
        <w:t>= 3,</w:t>
      </w:r>
      <w:proofErr w:type="gramStart"/>
      <w:r w:rsidR="0034703E" w:rsidRPr="00B30956">
        <w:rPr>
          <w:i/>
          <w:szCs w:val="22"/>
        </w:rPr>
        <w:t>07</w:t>
      </w:r>
      <w:r w:rsidR="00AD7726" w:rsidRPr="00B30956">
        <w:rPr>
          <w:i/>
          <w:szCs w:val="22"/>
        </w:rPr>
        <w:t>3514</w:t>
      </w:r>
      <w:r w:rsidR="0034703E" w:rsidRPr="00B30956">
        <w:rPr>
          <w:i/>
          <w:szCs w:val="22"/>
        </w:rPr>
        <w:t>;  ИС</w:t>
      </w:r>
      <w:proofErr w:type="gramEnd"/>
      <w:r w:rsidR="0034703E" w:rsidRPr="00B30956">
        <w:rPr>
          <w:i/>
          <w:szCs w:val="22"/>
        </w:rPr>
        <w:t xml:space="preserve"> = </w:t>
      </w:r>
      <w:r w:rsidR="0034703E" w:rsidRPr="00B30956">
        <w:rPr>
          <w:i/>
          <w:color w:val="000000"/>
          <w:szCs w:val="22"/>
        </w:rPr>
        <w:t>0,03</w:t>
      </w:r>
      <w:r w:rsidR="00AD7726" w:rsidRPr="00B30956">
        <w:rPr>
          <w:i/>
          <w:color w:val="000000"/>
          <w:szCs w:val="22"/>
        </w:rPr>
        <w:t>6757</w:t>
      </w:r>
      <w:r w:rsidR="0034703E" w:rsidRPr="00B30956">
        <w:rPr>
          <w:i/>
          <w:color w:val="000000"/>
          <w:szCs w:val="22"/>
        </w:rPr>
        <w:t>;</w:t>
      </w:r>
      <w:r w:rsidR="0034703E" w:rsidRPr="00B30956">
        <w:rPr>
          <w:i/>
          <w:szCs w:val="22"/>
        </w:rPr>
        <w:t xml:space="preserve">  ОС = </w:t>
      </w:r>
      <w:r w:rsidR="0034703E" w:rsidRPr="00B30956">
        <w:rPr>
          <w:i/>
          <w:color w:val="000000"/>
          <w:szCs w:val="22"/>
        </w:rPr>
        <w:t>0,06</w:t>
      </w:r>
      <w:r w:rsidR="00AD7726" w:rsidRPr="00B30956">
        <w:rPr>
          <w:i/>
          <w:color w:val="000000"/>
          <w:szCs w:val="22"/>
        </w:rPr>
        <w:t>337</w:t>
      </w:r>
      <w:r w:rsidR="0034703E" w:rsidRPr="00B30956">
        <w:rPr>
          <w:i/>
          <w:color w:val="000000"/>
          <w:szCs w:val="22"/>
        </w:rPr>
        <w:t>.</w:t>
      </w:r>
    </w:p>
    <w:p w:rsidR="008A7BDC" w:rsidRPr="00B0650F" w:rsidRDefault="008A7BDC" w:rsidP="00147047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Таблица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9</w:t>
      </w:r>
      <w:r w:rsidR="00147047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Оценка значимости поставщиков по критерию «Раннее сотрудничество»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2"/>
        <w:gridCol w:w="1714"/>
        <w:gridCol w:w="1213"/>
        <w:gridCol w:w="1212"/>
        <w:gridCol w:w="1212"/>
        <w:gridCol w:w="1212"/>
        <w:gridCol w:w="1210"/>
      </w:tblGrid>
      <w:tr w:rsidR="008A7BDC" w:rsidRPr="00C938F6" w:rsidTr="005B39E1">
        <w:trPr>
          <w:trHeight w:val="414"/>
        </w:trPr>
        <w:tc>
          <w:tcPr>
            <w:tcW w:w="1056" w:type="pct"/>
            <w:vAlign w:val="center"/>
            <w:hideMark/>
          </w:tcPr>
          <w:p w:rsidR="008A7BDC" w:rsidRPr="00C938F6" w:rsidRDefault="008A7BDC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69" w:type="pct"/>
            <w:vAlign w:val="center"/>
            <w:hideMark/>
          </w:tcPr>
          <w:p w:rsidR="008A7BDC" w:rsidRPr="00C938F6" w:rsidRDefault="008A7BDC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ГазоБлокИнвест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615" w:type="pct"/>
            <w:vAlign w:val="center"/>
            <w:hideMark/>
          </w:tcPr>
          <w:p w:rsidR="008A7BDC" w:rsidRPr="00C938F6" w:rsidRDefault="008A7BDC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ООО «ТЖБИ»</w:t>
            </w:r>
          </w:p>
        </w:tc>
        <w:tc>
          <w:tcPr>
            <w:tcW w:w="615" w:type="pct"/>
            <w:vAlign w:val="center"/>
            <w:hideMark/>
          </w:tcPr>
          <w:p w:rsidR="008A7BDC" w:rsidRPr="00C938F6" w:rsidRDefault="008A7BDC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ООО «КСМ»</w:t>
            </w:r>
          </w:p>
        </w:tc>
        <w:tc>
          <w:tcPr>
            <w:tcW w:w="615" w:type="pct"/>
            <w:vAlign w:val="center"/>
            <w:hideMark/>
          </w:tcPr>
          <w:p w:rsidR="008A7BDC" w:rsidRPr="00C938F6" w:rsidRDefault="005B39E1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m:oMathPara>
              <m:oMath>
                <m:nary>
                  <m:naryPr>
                    <m:chr m:val="∏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15" w:type="pct"/>
            <w:vAlign w:val="center"/>
            <w:hideMark/>
          </w:tcPr>
          <w:p w:rsidR="008A7BDC" w:rsidRPr="00C938F6" w:rsidRDefault="005B39E1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4" w:type="pct"/>
            <w:vAlign w:val="center"/>
            <w:hideMark/>
          </w:tcPr>
          <w:p w:rsidR="008A7BDC" w:rsidRPr="00C938F6" w:rsidRDefault="005B39E1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18"/>
                      </w:rPr>
                      <m:t>i</m:t>
                    </m:r>
                  </m:sub>
                </m:sSub>
              </m:oMath>
            </m:oMathPara>
          </w:p>
        </w:tc>
      </w:tr>
      <w:tr w:rsidR="0065090F" w:rsidRPr="00C938F6" w:rsidTr="0065090F">
        <w:trPr>
          <w:trHeight w:val="414"/>
        </w:trPr>
        <w:tc>
          <w:tcPr>
            <w:tcW w:w="1056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ГазоБлокИнвест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69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65090F" w:rsidRPr="00C938F6" w:rsidRDefault="0065090F" w:rsidP="000965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1/9</w:t>
            </w:r>
          </w:p>
        </w:tc>
        <w:tc>
          <w:tcPr>
            <w:tcW w:w="615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65090F" w:rsidRPr="0034703E" w:rsidRDefault="0065090F" w:rsidP="000965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5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5090F" w:rsidRPr="00C938F6" w:rsidTr="0065090F">
        <w:trPr>
          <w:trHeight w:val="414"/>
        </w:trPr>
        <w:tc>
          <w:tcPr>
            <w:tcW w:w="1056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ООО «ТЖ БИ»</w:t>
            </w:r>
          </w:p>
        </w:tc>
        <w:tc>
          <w:tcPr>
            <w:tcW w:w="869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615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615" w:type="pct"/>
            <w:vAlign w:val="center"/>
            <w:hideMark/>
          </w:tcPr>
          <w:p w:rsidR="0065090F" w:rsidRPr="0034703E" w:rsidRDefault="0065090F" w:rsidP="005B39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15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0,818</w:t>
            </w:r>
          </w:p>
        </w:tc>
      </w:tr>
      <w:tr w:rsidR="0065090F" w:rsidRPr="00C938F6" w:rsidTr="0065090F">
        <w:trPr>
          <w:trHeight w:val="414"/>
        </w:trPr>
        <w:tc>
          <w:tcPr>
            <w:tcW w:w="1056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ООО «КСМ»</w:t>
            </w:r>
          </w:p>
        </w:tc>
        <w:tc>
          <w:tcPr>
            <w:tcW w:w="869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65090F" w:rsidRPr="00C938F6" w:rsidRDefault="0065090F" w:rsidP="000965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1/9</w:t>
            </w:r>
          </w:p>
        </w:tc>
        <w:tc>
          <w:tcPr>
            <w:tcW w:w="615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15" w:type="pct"/>
            <w:vAlign w:val="center"/>
            <w:hideMark/>
          </w:tcPr>
          <w:p w:rsidR="0065090F" w:rsidRPr="0034703E" w:rsidRDefault="0065090F" w:rsidP="000965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5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5090F" w:rsidRPr="006E3382" w:rsidTr="0065090F">
        <w:trPr>
          <w:trHeight w:val="414"/>
        </w:trPr>
        <w:tc>
          <w:tcPr>
            <w:tcW w:w="1056" w:type="pct"/>
            <w:vAlign w:val="center"/>
            <w:hideMark/>
          </w:tcPr>
          <w:p w:rsidR="0065090F" w:rsidRPr="00C938F6" w:rsidRDefault="0065090F" w:rsidP="005B39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9" w:type="pct"/>
            <w:vAlign w:val="center"/>
            <w:hideMark/>
          </w:tcPr>
          <w:p w:rsidR="0065090F" w:rsidRPr="006E3382" w:rsidRDefault="0065090F" w:rsidP="005B39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5" w:type="pct"/>
            <w:vAlign w:val="center"/>
            <w:hideMark/>
          </w:tcPr>
          <w:p w:rsidR="0065090F" w:rsidRPr="006E3382" w:rsidRDefault="0065090F" w:rsidP="005B39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15" w:type="pct"/>
            <w:vAlign w:val="center"/>
            <w:hideMark/>
          </w:tcPr>
          <w:p w:rsidR="0065090F" w:rsidRPr="006E3382" w:rsidRDefault="0065090F" w:rsidP="005B39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615" w:type="pct"/>
            <w:vAlign w:val="center"/>
            <w:hideMark/>
          </w:tcPr>
          <w:p w:rsidR="0065090F" w:rsidRPr="0034703E" w:rsidRDefault="0065090F" w:rsidP="005B39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0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" w:type="pct"/>
            <w:vAlign w:val="center"/>
            <w:hideMark/>
          </w:tcPr>
          <w:p w:rsidR="0065090F" w:rsidRPr="0065090F" w:rsidRDefault="0065090F" w:rsidP="006509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A7BDC" w:rsidRPr="00B30956" w:rsidRDefault="005B39E1" w:rsidP="00B30956">
      <w:pPr>
        <w:pStyle w:val="15"/>
        <w:spacing w:before="120" w:after="0"/>
        <w:ind w:firstLine="0"/>
        <w:contextualSpacing/>
        <w:jc w:val="center"/>
        <w:rPr>
          <w:i/>
          <w:color w:val="000000"/>
          <w:szCs w:val="2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λ</m:t>
            </m:r>
          </m:e>
          <m:sub>
            <m:r>
              <w:rPr>
                <w:rFonts w:ascii="Cambria Math"/>
                <w:szCs w:val="22"/>
                <w:lang w:val="en-US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 xml:space="preserve"> </m:t>
        </m:r>
      </m:oMath>
      <w:r w:rsidR="00096579" w:rsidRPr="00B30956">
        <w:rPr>
          <w:i/>
          <w:szCs w:val="22"/>
        </w:rPr>
        <w:t xml:space="preserve">= </w:t>
      </w:r>
      <w:proofErr w:type="gramStart"/>
      <w:r w:rsidR="00096579" w:rsidRPr="00B30956">
        <w:rPr>
          <w:i/>
          <w:szCs w:val="22"/>
        </w:rPr>
        <w:t>3</w:t>
      </w:r>
      <w:r w:rsidR="008A7BDC" w:rsidRPr="00B30956">
        <w:rPr>
          <w:i/>
          <w:szCs w:val="22"/>
        </w:rPr>
        <w:t>;  ИС</w:t>
      </w:r>
      <w:proofErr w:type="gramEnd"/>
      <w:r w:rsidR="008A7BDC" w:rsidRPr="00B30956">
        <w:rPr>
          <w:i/>
          <w:szCs w:val="22"/>
        </w:rPr>
        <w:t xml:space="preserve"> = </w:t>
      </w:r>
      <w:r w:rsidR="00096579" w:rsidRPr="00B30956">
        <w:rPr>
          <w:i/>
          <w:color w:val="000000"/>
          <w:szCs w:val="22"/>
        </w:rPr>
        <w:t>0</w:t>
      </w:r>
      <w:r w:rsidR="008A7BDC" w:rsidRPr="00B30956">
        <w:rPr>
          <w:i/>
          <w:color w:val="000000"/>
          <w:szCs w:val="22"/>
        </w:rPr>
        <w:t>;</w:t>
      </w:r>
      <w:r w:rsidR="008A7BDC" w:rsidRPr="00B30956">
        <w:rPr>
          <w:i/>
          <w:szCs w:val="22"/>
        </w:rPr>
        <w:t xml:space="preserve">  ОС = </w:t>
      </w:r>
      <w:r w:rsidR="00096579" w:rsidRPr="00B30956">
        <w:rPr>
          <w:i/>
          <w:color w:val="000000"/>
          <w:szCs w:val="22"/>
        </w:rPr>
        <w:t>0</w:t>
      </w:r>
      <w:r w:rsidR="008A7BDC" w:rsidRPr="00B30956">
        <w:rPr>
          <w:i/>
          <w:color w:val="000000"/>
          <w:szCs w:val="22"/>
        </w:rPr>
        <w:t>.</w:t>
      </w:r>
    </w:p>
    <w:p w:rsidR="008A7BDC" w:rsidRDefault="008A7BDC" w:rsidP="008A7BDC">
      <w:pPr>
        <w:pStyle w:val="15"/>
        <w:spacing w:before="120" w:after="0"/>
        <w:ind w:firstLine="0"/>
        <w:contextualSpacing/>
        <w:rPr>
          <w:color w:val="000000"/>
          <w:szCs w:val="22"/>
        </w:rPr>
      </w:pPr>
    </w:p>
    <w:p w:rsidR="005B5963" w:rsidRDefault="00AE74EC" w:rsidP="00B30956">
      <w:pPr>
        <w:pStyle w:val="15"/>
        <w:spacing w:before="120" w:after="0"/>
        <w:contextualSpacing/>
      </w:pPr>
      <w:r>
        <w:t xml:space="preserve">Для принятия окончательного решения выбора поставщика, </w:t>
      </w:r>
      <w:r w:rsidR="00B30956">
        <w:t xml:space="preserve">был </w:t>
      </w:r>
      <w:r>
        <w:t>рассчита</w:t>
      </w:r>
      <w:r w:rsidR="00B30956">
        <w:t>н</w:t>
      </w:r>
      <w:r>
        <w:t xml:space="preserve"> глобальный приоритет. </w:t>
      </w:r>
      <w:r w:rsidR="00B30956">
        <w:t xml:space="preserve">Результаты представлены в </w:t>
      </w:r>
      <w:r>
        <w:t>таблиц</w:t>
      </w:r>
      <w:r w:rsidR="00B30956">
        <w:t>е</w:t>
      </w:r>
      <w:r>
        <w:t xml:space="preserve"> 10 по каждому поставщику</w:t>
      </w:r>
      <w:r w:rsidR="005B5963">
        <w:t>.</w:t>
      </w:r>
    </w:p>
    <w:p w:rsidR="005B5963" w:rsidRPr="005B5963" w:rsidRDefault="005B5963" w:rsidP="00B30956">
      <w:pPr>
        <w:shd w:val="clear" w:color="auto" w:fill="FFFFFF"/>
        <w:spacing w:after="0" w:line="402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Таблица 10</w:t>
      </w:r>
      <w:r w:rsidR="00B30956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 w:rsidR="00D10D13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–</w:t>
      </w:r>
      <w:r w:rsidRPr="00B0650F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Итоговая 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3"/>
        <w:gridCol w:w="1141"/>
        <w:gridCol w:w="1230"/>
        <w:gridCol w:w="1049"/>
        <w:gridCol w:w="1020"/>
        <w:gridCol w:w="1028"/>
        <w:gridCol w:w="938"/>
        <w:gridCol w:w="1342"/>
      </w:tblGrid>
      <w:tr w:rsidR="00B04733" w:rsidTr="00A03796">
        <w:tc>
          <w:tcPr>
            <w:tcW w:w="1823" w:type="dxa"/>
            <w:vMerge w:val="restart"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Поставщики</w:t>
            </w:r>
          </w:p>
        </w:tc>
        <w:tc>
          <w:tcPr>
            <w:tcW w:w="6406" w:type="dxa"/>
            <w:gridSpan w:val="6"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Векторные приоритеты</w:t>
            </w:r>
          </w:p>
        </w:tc>
        <w:tc>
          <w:tcPr>
            <w:tcW w:w="1342" w:type="dxa"/>
            <w:vMerge w:val="restart"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Глобальный приоритет</w:t>
            </w:r>
          </w:p>
        </w:tc>
      </w:tr>
      <w:tr w:rsidR="00B04733" w:rsidTr="00A03796">
        <w:tc>
          <w:tcPr>
            <w:tcW w:w="1823" w:type="dxa"/>
            <w:vMerge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B04733" w:rsidRPr="00214DAD" w:rsidRDefault="00B04733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поставки</w:t>
            </w:r>
          </w:p>
        </w:tc>
        <w:tc>
          <w:tcPr>
            <w:tcW w:w="1230" w:type="dxa"/>
            <w:vAlign w:val="center"/>
          </w:tcPr>
          <w:p w:rsidR="00B04733" w:rsidRPr="00214DAD" w:rsidRDefault="00B04733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Репутация поставщика</w:t>
            </w:r>
          </w:p>
        </w:tc>
        <w:tc>
          <w:tcPr>
            <w:tcW w:w="1049" w:type="dxa"/>
            <w:vAlign w:val="center"/>
          </w:tcPr>
          <w:p w:rsidR="00B04733" w:rsidRPr="00214DAD" w:rsidRDefault="00B04733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1020" w:type="dxa"/>
            <w:vAlign w:val="center"/>
          </w:tcPr>
          <w:p w:rsidR="00B04733" w:rsidRPr="00214DAD" w:rsidRDefault="00B04733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оплаты</w:t>
            </w:r>
          </w:p>
        </w:tc>
        <w:tc>
          <w:tcPr>
            <w:tcW w:w="1028" w:type="dxa"/>
            <w:vAlign w:val="center"/>
          </w:tcPr>
          <w:p w:rsidR="00B04733" w:rsidRPr="00214DAD" w:rsidRDefault="00B04733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СМК</w:t>
            </w:r>
          </w:p>
        </w:tc>
        <w:tc>
          <w:tcPr>
            <w:tcW w:w="938" w:type="dxa"/>
            <w:vAlign w:val="center"/>
          </w:tcPr>
          <w:p w:rsidR="00B04733" w:rsidRPr="00214DAD" w:rsidRDefault="00B04733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Раннее </w:t>
            </w:r>
            <w:proofErr w:type="spellStart"/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342" w:type="dxa"/>
            <w:vMerge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4733" w:rsidTr="00A03796">
        <w:tc>
          <w:tcPr>
            <w:tcW w:w="1823" w:type="dxa"/>
            <w:vMerge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B04733" w:rsidRPr="00214DAD" w:rsidRDefault="00072CD1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0,427</w:t>
            </w:r>
          </w:p>
        </w:tc>
        <w:tc>
          <w:tcPr>
            <w:tcW w:w="1230" w:type="dxa"/>
            <w:vAlign w:val="center"/>
          </w:tcPr>
          <w:p w:rsidR="00B04733" w:rsidRPr="00214DAD" w:rsidRDefault="00072CD1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049" w:type="dxa"/>
            <w:vAlign w:val="center"/>
          </w:tcPr>
          <w:p w:rsidR="00B04733" w:rsidRPr="00214DAD" w:rsidRDefault="00072CD1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020" w:type="dxa"/>
            <w:vAlign w:val="center"/>
          </w:tcPr>
          <w:p w:rsidR="00B04733" w:rsidRPr="00214DAD" w:rsidRDefault="00072CD1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28" w:type="dxa"/>
            <w:vAlign w:val="center"/>
          </w:tcPr>
          <w:p w:rsidR="00B04733" w:rsidRPr="00214DAD" w:rsidRDefault="00072CD1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938" w:type="dxa"/>
            <w:vAlign w:val="center"/>
          </w:tcPr>
          <w:p w:rsidR="00B04733" w:rsidRPr="00214DAD" w:rsidRDefault="00072CD1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342" w:type="dxa"/>
            <w:vMerge/>
            <w:vAlign w:val="center"/>
          </w:tcPr>
          <w:p w:rsidR="00B04733" w:rsidRPr="00214DAD" w:rsidRDefault="00B04733" w:rsidP="00B04733">
            <w:pPr>
              <w:pStyle w:val="15"/>
              <w:spacing w:before="120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96" w:rsidTr="00E63D76">
        <w:tc>
          <w:tcPr>
            <w:tcW w:w="1823" w:type="dxa"/>
            <w:vAlign w:val="center"/>
          </w:tcPr>
          <w:p w:rsidR="00A03796" w:rsidRPr="00214DAD" w:rsidRDefault="00A03796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ГазоБлокИнвест</w:t>
            </w:r>
            <w:proofErr w:type="spellEnd"/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1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0,663</w:t>
            </w:r>
          </w:p>
        </w:tc>
        <w:tc>
          <w:tcPr>
            <w:tcW w:w="1230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049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020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028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938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342" w:type="dxa"/>
            <w:vAlign w:val="center"/>
          </w:tcPr>
          <w:p w:rsidR="00A03796" w:rsidRPr="00214DAD" w:rsidRDefault="00A03796" w:rsidP="00E63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  <w:r w:rsidR="00E63D76" w:rsidRPr="00214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03796" w:rsidTr="00E63D76">
        <w:tc>
          <w:tcPr>
            <w:tcW w:w="1823" w:type="dxa"/>
            <w:vAlign w:val="center"/>
          </w:tcPr>
          <w:p w:rsidR="00A03796" w:rsidRPr="00214DAD" w:rsidRDefault="00A03796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«ТЖ БИ»</w:t>
            </w:r>
          </w:p>
        </w:tc>
        <w:tc>
          <w:tcPr>
            <w:tcW w:w="1141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230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049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020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0,743</w:t>
            </w:r>
          </w:p>
        </w:tc>
        <w:tc>
          <w:tcPr>
            <w:tcW w:w="1028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0,761</w:t>
            </w:r>
          </w:p>
        </w:tc>
        <w:tc>
          <w:tcPr>
            <w:tcW w:w="938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0,818</w:t>
            </w:r>
          </w:p>
        </w:tc>
        <w:tc>
          <w:tcPr>
            <w:tcW w:w="1342" w:type="dxa"/>
            <w:vAlign w:val="center"/>
          </w:tcPr>
          <w:p w:rsidR="00A03796" w:rsidRPr="00214DAD" w:rsidRDefault="00A03796" w:rsidP="00E63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0,228</w:t>
            </w:r>
          </w:p>
        </w:tc>
      </w:tr>
      <w:tr w:rsidR="00A03796" w:rsidTr="00E63D76">
        <w:tc>
          <w:tcPr>
            <w:tcW w:w="1823" w:type="dxa"/>
            <w:vAlign w:val="center"/>
          </w:tcPr>
          <w:p w:rsidR="00A03796" w:rsidRPr="00214DAD" w:rsidRDefault="00A03796" w:rsidP="005B3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DA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«КСМ»</w:t>
            </w:r>
          </w:p>
        </w:tc>
        <w:tc>
          <w:tcPr>
            <w:tcW w:w="1141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1230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1049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020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028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938" w:type="dxa"/>
            <w:vAlign w:val="center"/>
          </w:tcPr>
          <w:p w:rsidR="00A03796" w:rsidRPr="00214DAD" w:rsidRDefault="00A03796" w:rsidP="00E63D76">
            <w:pPr>
              <w:pStyle w:val="15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4DAD"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342" w:type="dxa"/>
            <w:vAlign w:val="center"/>
          </w:tcPr>
          <w:p w:rsidR="00A03796" w:rsidRPr="00214DAD" w:rsidRDefault="00A03796" w:rsidP="00E63D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</w:tr>
    </w:tbl>
    <w:p w:rsidR="00C62AFF" w:rsidRDefault="00E63D76" w:rsidP="00E63D76">
      <w:pPr>
        <w:pStyle w:val="15"/>
        <w:spacing w:before="120" w:after="0"/>
        <w:contextualSpacing/>
        <w:rPr>
          <w:color w:val="000000"/>
        </w:rPr>
      </w:pPr>
      <w:r>
        <w:t>На основе значений глобальных приоритетов можно сделать вывод, что оптимальным поставщиком явл</w:t>
      </w:r>
      <w:r w:rsidRPr="00E63D76">
        <w:t>яется ООО «</w:t>
      </w:r>
      <w:proofErr w:type="spellStart"/>
      <w:r w:rsidRPr="00E63D76">
        <w:t>ГазоБлокИнвест</w:t>
      </w:r>
      <w:proofErr w:type="spellEnd"/>
      <w:r w:rsidRPr="00E63D76">
        <w:t>»</w:t>
      </w:r>
      <w:r>
        <w:t>, лидирующий по двум критериям с самой высокой степенью значимости: стоимость поставки и срок поставки.</w:t>
      </w:r>
    </w:p>
    <w:p w:rsidR="00AA399D" w:rsidRPr="001B37FD" w:rsidRDefault="00E63D76" w:rsidP="001B37FD">
      <w:pPr>
        <w:pStyle w:val="15"/>
        <w:spacing w:after="0"/>
        <w:ind w:firstLine="0"/>
        <w:contextualSpacing/>
        <w:rPr>
          <w:szCs w:val="22"/>
        </w:rPr>
      </w:pPr>
      <w:r>
        <w:rPr>
          <w:color w:val="000000"/>
        </w:rPr>
        <w:tab/>
      </w:r>
      <w:r>
        <w:t xml:space="preserve">На основе данной математической модели можно разработать комплекс алгоритмов, осуществляющий сбор необходимой информации и подбор поставщика по заданным критериям. Таким образом, полученная информационная система поддержки принятия решения позволит повысить эффективность работы тендерной комиссии путем уменьшения времени, затрачиваемого на подбор поставщика и получения более оптимального </w:t>
      </w:r>
      <w:r w:rsidR="009500DB">
        <w:t xml:space="preserve">результата </w:t>
      </w:r>
      <w:r>
        <w:t>выбора.</w:t>
      </w:r>
    </w:p>
    <w:p w:rsidR="005800E8" w:rsidRDefault="005800E8" w:rsidP="005800E8">
      <w:pPr>
        <w:pStyle w:val="15"/>
        <w:spacing w:after="0"/>
        <w:contextualSpacing/>
      </w:pPr>
    </w:p>
    <w:p w:rsidR="005800E8" w:rsidRPr="003D7E46" w:rsidRDefault="003D7E46" w:rsidP="003D7E46">
      <w:pPr>
        <w:pStyle w:val="15"/>
        <w:contextualSpacing/>
        <w:jc w:val="center"/>
        <w:rPr>
          <w:b/>
        </w:rPr>
      </w:pPr>
      <w:r w:rsidRPr="003D7E46">
        <w:rPr>
          <w:b/>
        </w:rPr>
        <w:t>СПИСОК ЛИТЕРАТУРЫ</w:t>
      </w:r>
    </w:p>
    <w:p w:rsidR="005800E8" w:rsidRDefault="005800E8" w:rsidP="003D7E46">
      <w:pPr>
        <w:pStyle w:val="15"/>
        <w:numPr>
          <w:ilvl w:val="0"/>
          <w:numId w:val="1"/>
        </w:numPr>
        <w:ind w:left="0" w:firstLine="754"/>
        <w:contextualSpacing/>
      </w:pPr>
      <w:proofErr w:type="spellStart"/>
      <w:r w:rsidRPr="00AF29AD">
        <w:t>Урубков</w:t>
      </w:r>
      <w:proofErr w:type="spellEnd"/>
      <w:r w:rsidRPr="00AF29AD">
        <w:t xml:space="preserve"> А. Р., Федотов И. В.</w:t>
      </w:r>
      <w:r>
        <w:t xml:space="preserve"> </w:t>
      </w:r>
      <w:r w:rsidRPr="00674EC2">
        <w:t>Методы и модели оптимизации управленческих решений</w:t>
      </w:r>
      <w:r w:rsidR="008111F8">
        <w:t xml:space="preserve"> [Текст</w:t>
      </w:r>
      <w:proofErr w:type="gramStart"/>
      <w:r w:rsidR="008111F8">
        <w:t xml:space="preserve">] </w:t>
      </w:r>
      <w:r>
        <w:t xml:space="preserve"> –</w:t>
      </w:r>
      <w:proofErr w:type="gramEnd"/>
      <w:r>
        <w:t xml:space="preserve"> Дело АНХ, 2011. – 240 с.</w:t>
      </w:r>
    </w:p>
    <w:p w:rsidR="002C6095" w:rsidRPr="00EC34E3" w:rsidRDefault="002C6095" w:rsidP="002C6095">
      <w:pPr>
        <w:pStyle w:val="15"/>
        <w:numPr>
          <w:ilvl w:val="0"/>
          <w:numId w:val="1"/>
        </w:numPr>
        <w:ind w:left="0" w:firstLine="754"/>
        <w:contextualSpacing/>
      </w:pPr>
      <w:proofErr w:type="spellStart"/>
      <w:r>
        <w:t>Саати</w:t>
      </w:r>
      <w:proofErr w:type="spellEnd"/>
      <w:r>
        <w:t xml:space="preserve">, Т. Принятие решений. Метод анализа иерархий [Текст] / Пер. с англ. </w:t>
      </w:r>
      <w:proofErr w:type="spellStart"/>
      <w:r>
        <w:t>Р.Г.Вачнадзе</w:t>
      </w:r>
      <w:proofErr w:type="spellEnd"/>
      <w:r>
        <w:t xml:space="preserve"> – Москва «Радио и связь», 2013</w:t>
      </w:r>
    </w:p>
    <w:p w:rsidR="005800E8" w:rsidRDefault="005800E8" w:rsidP="003D7E46">
      <w:pPr>
        <w:pStyle w:val="15"/>
        <w:numPr>
          <w:ilvl w:val="0"/>
          <w:numId w:val="1"/>
        </w:numPr>
        <w:ind w:left="0" w:firstLine="754"/>
        <w:contextualSpacing/>
      </w:pPr>
      <w:r>
        <w:t>Дегтярева Н. М., Яковлев Р., Методические подходы к выбору и оценке поставщиков предприятия [Электронный ресурс] / Вестник Волжского университета им. В.Н. Татищева, журнал. № 1[33]. 2015 URL: http://cyberleninka.ru/article/n/metodicheskie-podhody-k-vyboru-i-otsenke-postavschikov-predpriyatiya#ixzz41eUYu7K8 (дата обращения: 15.04.2018)</w:t>
      </w:r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EDD">
        <w:rPr>
          <w:rFonts w:ascii="Times New Roman" w:hAnsi="Times New Roman"/>
          <w:b/>
          <w:sz w:val="20"/>
          <w:szCs w:val="20"/>
        </w:rPr>
        <w:t xml:space="preserve">Кудинова </w:t>
      </w:r>
      <w:proofErr w:type="gramStart"/>
      <w:r w:rsidRPr="002B5EDD">
        <w:rPr>
          <w:rFonts w:ascii="Times New Roman" w:hAnsi="Times New Roman"/>
          <w:b/>
          <w:sz w:val="20"/>
          <w:szCs w:val="20"/>
        </w:rPr>
        <w:t>А</w:t>
      </w:r>
      <w:r w:rsidRPr="002B5EDD">
        <w:rPr>
          <w:rFonts w:ascii="Times New Roman" w:hAnsi="Times New Roman"/>
          <w:b/>
          <w:sz w:val="20"/>
          <w:szCs w:val="20"/>
        </w:rPr>
        <w:t xml:space="preserve">настасия </w:t>
      </w:r>
      <w:r w:rsidRPr="002B5EDD">
        <w:rPr>
          <w:rFonts w:ascii="Times New Roman" w:hAnsi="Times New Roman"/>
          <w:b/>
          <w:sz w:val="20"/>
          <w:szCs w:val="20"/>
        </w:rPr>
        <w:t xml:space="preserve"> Н</w:t>
      </w:r>
      <w:r w:rsidRPr="002B5EDD">
        <w:rPr>
          <w:rFonts w:ascii="Times New Roman" w:hAnsi="Times New Roman"/>
          <w:b/>
          <w:sz w:val="20"/>
          <w:szCs w:val="20"/>
        </w:rPr>
        <w:t>иколаевна</w:t>
      </w:r>
      <w:proofErr w:type="gramEnd"/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5EDD">
        <w:rPr>
          <w:rFonts w:ascii="Times New Roman" w:hAnsi="Times New Roman"/>
          <w:sz w:val="20"/>
          <w:szCs w:val="20"/>
        </w:rPr>
        <w:t>Белгородский государственный национальный исследовательский университет</w:t>
      </w:r>
      <w:r w:rsidR="006F5C38" w:rsidRPr="002B5EDD">
        <w:rPr>
          <w:rFonts w:ascii="Times New Roman" w:hAnsi="Times New Roman"/>
          <w:sz w:val="20"/>
          <w:szCs w:val="20"/>
        </w:rPr>
        <w:t xml:space="preserve"> </w:t>
      </w:r>
      <w:r w:rsidRPr="002B5EDD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2B5EDD">
        <w:rPr>
          <w:rFonts w:ascii="Times New Roman" w:hAnsi="Times New Roman"/>
          <w:sz w:val="20"/>
          <w:szCs w:val="20"/>
        </w:rPr>
        <w:t>НИУ»БелГУ</w:t>
      </w:r>
      <w:proofErr w:type="spellEnd"/>
      <w:proofErr w:type="gramEnd"/>
      <w:r w:rsidRPr="002B5EDD">
        <w:rPr>
          <w:rFonts w:ascii="Times New Roman" w:hAnsi="Times New Roman"/>
          <w:sz w:val="20"/>
          <w:szCs w:val="20"/>
        </w:rPr>
        <w:t>»), г. Белгород</w:t>
      </w:r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5EDD">
        <w:rPr>
          <w:rFonts w:ascii="Times New Roman" w:hAnsi="Times New Roman"/>
          <w:b/>
          <w:sz w:val="20"/>
          <w:szCs w:val="20"/>
        </w:rPr>
        <w:t xml:space="preserve"> </w:t>
      </w:r>
      <w:r w:rsidRPr="002B5EDD">
        <w:rPr>
          <w:rFonts w:ascii="Times New Roman" w:hAnsi="Times New Roman"/>
          <w:sz w:val="20"/>
          <w:szCs w:val="20"/>
        </w:rPr>
        <w:t>Магистрант, группа</w:t>
      </w:r>
      <w:r w:rsidRPr="002B5EDD">
        <w:rPr>
          <w:rFonts w:ascii="Times New Roman" w:hAnsi="Times New Roman"/>
          <w:sz w:val="20"/>
          <w:szCs w:val="20"/>
        </w:rPr>
        <w:t xml:space="preserve"> 07001671 </w:t>
      </w:r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B5EDD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2B5EDD">
        <w:rPr>
          <w:rFonts w:ascii="Times New Roman" w:hAnsi="Times New Roman" w:cs="Times New Roman"/>
          <w:sz w:val="20"/>
          <w:szCs w:val="20"/>
        </w:rPr>
        <w:t>1213034</w:t>
      </w:r>
      <w:r w:rsidRPr="002B5EDD">
        <w:rPr>
          <w:rFonts w:ascii="Times New Roman" w:hAnsi="Times New Roman" w:cs="Times New Roman"/>
          <w:sz w:val="20"/>
          <w:szCs w:val="20"/>
          <w:lang w:val="en-US"/>
        </w:rPr>
        <w:t>@bsu.edu.ru</w:t>
      </w:r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EDD">
        <w:rPr>
          <w:rFonts w:ascii="Times New Roman" w:hAnsi="Times New Roman"/>
          <w:b/>
          <w:sz w:val="20"/>
          <w:szCs w:val="20"/>
        </w:rPr>
        <w:t>Гахова Н</w:t>
      </w:r>
      <w:r w:rsidRPr="002B5EDD">
        <w:rPr>
          <w:rFonts w:ascii="Times New Roman" w:hAnsi="Times New Roman"/>
          <w:b/>
          <w:sz w:val="20"/>
          <w:szCs w:val="20"/>
        </w:rPr>
        <w:t xml:space="preserve">ина </w:t>
      </w:r>
      <w:r w:rsidRPr="002B5EDD">
        <w:rPr>
          <w:rFonts w:ascii="Times New Roman" w:hAnsi="Times New Roman"/>
          <w:b/>
          <w:sz w:val="20"/>
          <w:szCs w:val="20"/>
        </w:rPr>
        <w:t>Н</w:t>
      </w:r>
      <w:r w:rsidRPr="002B5EDD">
        <w:rPr>
          <w:rFonts w:ascii="Times New Roman" w:hAnsi="Times New Roman"/>
          <w:b/>
          <w:sz w:val="20"/>
          <w:szCs w:val="20"/>
        </w:rPr>
        <w:t>иколаевна</w:t>
      </w:r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5EDD">
        <w:rPr>
          <w:rFonts w:ascii="Times New Roman" w:hAnsi="Times New Roman"/>
          <w:sz w:val="20"/>
          <w:szCs w:val="20"/>
        </w:rPr>
        <w:t>Белгородский государственный национальный исследовательский университет (</w:t>
      </w:r>
      <w:proofErr w:type="spellStart"/>
      <w:proofErr w:type="gramStart"/>
      <w:r w:rsidRPr="002B5EDD">
        <w:rPr>
          <w:rFonts w:ascii="Times New Roman" w:hAnsi="Times New Roman"/>
          <w:sz w:val="20"/>
          <w:szCs w:val="20"/>
        </w:rPr>
        <w:t>НИУ»БелГУ</w:t>
      </w:r>
      <w:proofErr w:type="spellEnd"/>
      <w:proofErr w:type="gramEnd"/>
      <w:r w:rsidRPr="002B5EDD">
        <w:rPr>
          <w:rFonts w:ascii="Times New Roman" w:hAnsi="Times New Roman"/>
          <w:sz w:val="20"/>
          <w:szCs w:val="20"/>
        </w:rPr>
        <w:t>»), г. Белгород</w:t>
      </w:r>
    </w:p>
    <w:p w:rsidR="00AA2BB6" w:rsidRPr="002B5EDD" w:rsidRDefault="00AA2BB6" w:rsidP="00AA2BB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B5EDD">
        <w:rPr>
          <w:rFonts w:ascii="Times New Roman" w:hAnsi="Times New Roman"/>
          <w:sz w:val="20"/>
          <w:szCs w:val="20"/>
        </w:rPr>
        <w:t>К</w:t>
      </w:r>
      <w:r w:rsidRPr="002B5EDD">
        <w:rPr>
          <w:rFonts w:ascii="Times New Roman" w:hAnsi="Times New Roman"/>
          <w:sz w:val="20"/>
          <w:szCs w:val="20"/>
        </w:rPr>
        <w:t>.т.н</w:t>
      </w:r>
      <w:proofErr w:type="spellEnd"/>
      <w:r w:rsidRPr="002B5EDD">
        <w:rPr>
          <w:rFonts w:ascii="Times New Roman" w:hAnsi="Times New Roman"/>
          <w:sz w:val="20"/>
          <w:szCs w:val="20"/>
        </w:rPr>
        <w:t>, доцент кафедры прикладной информатики и информационных технологий</w:t>
      </w:r>
    </w:p>
    <w:p w:rsidR="00C15A5F" w:rsidRPr="00720243" w:rsidRDefault="00AA2BB6" w:rsidP="00214DAD">
      <w:pPr>
        <w:spacing w:after="0" w:line="240" w:lineRule="auto"/>
        <w:rPr>
          <w:sz w:val="20"/>
          <w:szCs w:val="20"/>
          <w:lang w:val="en-US"/>
        </w:rPr>
      </w:pPr>
      <w:r w:rsidRPr="002B5EDD">
        <w:rPr>
          <w:rFonts w:ascii="Times New Roman" w:hAnsi="Times New Roman"/>
          <w:sz w:val="20"/>
          <w:szCs w:val="20"/>
        </w:rPr>
        <w:t>НИУ «БелГУ»</w:t>
      </w:r>
      <w:r w:rsidRPr="002B5EDD">
        <w:rPr>
          <w:rFonts w:ascii="Times New Roman" w:hAnsi="Times New Roman"/>
          <w:sz w:val="20"/>
          <w:szCs w:val="20"/>
        </w:rPr>
        <w:t>, г. Белгород</w:t>
      </w:r>
      <w:r w:rsidR="00214DAD" w:rsidRPr="002B5EDD">
        <w:rPr>
          <w:rFonts w:ascii="Times New Roman" w:hAnsi="Times New Roman"/>
          <w:sz w:val="20"/>
          <w:szCs w:val="20"/>
        </w:rPr>
        <w:t xml:space="preserve"> </w:t>
      </w:r>
      <w:r w:rsidR="0034678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2B5E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B5E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5EDD">
        <w:rPr>
          <w:rFonts w:ascii="Times New Roman" w:hAnsi="Times New Roman" w:cs="Times New Roman"/>
          <w:sz w:val="20"/>
          <w:szCs w:val="20"/>
          <w:lang w:val="en-US"/>
        </w:rPr>
        <w:t>gahova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2B5EDD">
        <w:rPr>
          <w:rFonts w:ascii="Times New Roman" w:hAnsi="Times New Roman" w:cs="Times New Roman"/>
          <w:sz w:val="20"/>
          <w:szCs w:val="20"/>
          <w:lang w:val="en-US"/>
        </w:rPr>
        <w:t>bsu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B5EDD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B5ED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20243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C15A5F" w:rsidRPr="00720243" w:rsidSect="00DC7B2C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78C8"/>
    <w:multiLevelType w:val="hybridMultilevel"/>
    <w:tmpl w:val="E3CA5CA0"/>
    <w:lvl w:ilvl="0" w:tplc="1BF4E5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90F0D"/>
    <w:multiLevelType w:val="hybridMultilevel"/>
    <w:tmpl w:val="17348628"/>
    <w:lvl w:ilvl="0" w:tplc="2A86D07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65EA047F"/>
    <w:multiLevelType w:val="hybridMultilevel"/>
    <w:tmpl w:val="8A9E39B0"/>
    <w:lvl w:ilvl="0" w:tplc="46B4B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0E8"/>
    <w:rsid w:val="00013D09"/>
    <w:rsid w:val="00072CD1"/>
    <w:rsid w:val="00086B63"/>
    <w:rsid w:val="00096579"/>
    <w:rsid w:val="000C3272"/>
    <w:rsid w:val="000D0EE2"/>
    <w:rsid w:val="000F362B"/>
    <w:rsid w:val="000F5F58"/>
    <w:rsid w:val="0010146C"/>
    <w:rsid w:val="00103F3A"/>
    <w:rsid w:val="00147047"/>
    <w:rsid w:val="00152996"/>
    <w:rsid w:val="001854BB"/>
    <w:rsid w:val="001B2453"/>
    <w:rsid w:val="001B37FD"/>
    <w:rsid w:val="001E382A"/>
    <w:rsid w:val="001E7B85"/>
    <w:rsid w:val="00200346"/>
    <w:rsid w:val="002074E6"/>
    <w:rsid w:val="00214DAD"/>
    <w:rsid w:val="002B2337"/>
    <w:rsid w:val="002B5EDD"/>
    <w:rsid w:val="002B73CF"/>
    <w:rsid w:val="002C6095"/>
    <w:rsid w:val="002D0EB9"/>
    <w:rsid w:val="00304A96"/>
    <w:rsid w:val="00304E59"/>
    <w:rsid w:val="003211B8"/>
    <w:rsid w:val="00337ED3"/>
    <w:rsid w:val="00346784"/>
    <w:rsid w:val="0034703E"/>
    <w:rsid w:val="00362D0A"/>
    <w:rsid w:val="003819F8"/>
    <w:rsid w:val="003D7E46"/>
    <w:rsid w:val="003E1860"/>
    <w:rsid w:val="003F32D7"/>
    <w:rsid w:val="003F4B8F"/>
    <w:rsid w:val="004432EC"/>
    <w:rsid w:val="004475D9"/>
    <w:rsid w:val="004525FE"/>
    <w:rsid w:val="00455865"/>
    <w:rsid w:val="00483790"/>
    <w:rsid w:val="004D5679"/>
    <w:rsid w:val="005800E8"/>
    <w:rsid w:val="005B39E1"/>
    <w:rsid w:val="005B5963"/>
    <w:rsid w:val="005E22CE"/>
    <w:rsid w:val="005F49D9"/>
    <w:rsid w:val="005F5737"/>
    <w:rsid w:val="0060552D"/>
    <w:rsid w:val="0065090F"/>
    <w:rsid w:val="00670FC1"/>
    <w:rsid w:val="006E3382"/>
    <w:rsid w:val="006F3DDA"/>
    <w:rsid w:val="006F5C38"/>
    <w:rsid w:val="00720243"/>
    <w:rsid w:val="007355D4"/>
    <w:rsid w:val="00747C52"/>
    <w:rsid w:val="007560EF"/>
    <w:rsid w:val="007A3971"/>
    <w:rsid w:val="007A53B0"/>
    <w:rsid w:val="007F61EF"/>
    <w:rsid w:val="008111F8"/>
    <w:rsid w:val="00834CFF"/>
    <w:rsid w:val="008602A0"/>
    <w:rsid w:val="008A7BDC"/>
    <w:rsid w:val="008F3AE2"/>
    <w:rsid w:val="00947E32"/>
    <w:rsid w:val="009500DB"/>
    <w:rsid w:val="00977A65"/>
    <w:rsid w:val="009905D2"/>
    <w:rsid w:val="009B6B8D"/>
    <w:rsid w:val="00A03796"/>
    <w:rsid w:val="00A778A0"/>
    <w:rsid w:val="00A94B0C"/>
    <w:rsid w:val="00AA2BB6"/>
    <w:rsid w:val="00AA399D"/>
    <w:rsid w:val="00AD7726"/>
    <w:rsid w:val="00AE12E3"/>
    <w:rsid w:val="00AE74EC"/>
    <w:rsid w:val="00B031AA"/>
    <w:rsid w:val="00B04733"/>
    <w:rsid w:val="00B0650F"/>
    <w:rsid w:val="00B068C8"/>
    <w:rsid w:val="00B15DBE"/>
    <w:rsid w:val="00B30956"/>
    <w:rsid w:val="00B536A6"/>
    <w:rsid w:val="00BA1DDD"/>
    <w:rsid w:val="00BC28B0"/>
    <w:rsid w:val="00BE111A"/>
    <w:rsid w:val="00C15251"/>
    <w:rsid w:val="00C15A5F"/>
    <w:rsid w:val="00C2260D"/>
    <w:rsid w:val="00C4439E"/>
    <w:rsid w:val="00C62AFF"/>
    <w:rsid w:val="00C72D7E"/>
    <w:rsid w:val="00C75C52"/>
    <w:rsid w:val="00C938F6"/>
    <w:rsid w:val="00CA5863"/>
    <w:rsid w:val="00CC11DE"/>
    <w:rsid w:val="00CF6F46"/>
    <w:rsid w:val="00D10D13"/>
    <w:rsid w:val="00D167FC"/>
    <w:rsid w:val="00D30265"/>
    <w:rsid w:val="00D60AA1"/>
    <w:rsid w:val="00D660B3"/>
    <w:rsid w:val="00D67033"/>
    <w:rsid w:val="00DA60D9"/>
    <w:rsid w:val="00DC7B2C"/>
    <w:rsid w:val="00DE3965"/>
    <w:rsid w:val="00DE5ED9"/>
    <w:rsid w:val="00E12F42"/>
    <w:rsid w:val="00E36F02"/>
    <w:rsid w:val="00E56307"/>
    <w:rsid w:val="00E61731"/>
    <w:rsid w:val="00E63D76"/>
    <w:rsid w:val="00E8642C"/>
    <w:rsid w:val="00E8792A"/>
    <w:rsid w:val="00F46D4A"/>
    <w:rsid w:val="00F57373"/>
    <w:rsid w:val="00F77EB3"/>
    <w:rsid w:val="00FB07EB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689C-E718-43EE-A4D3-7806AFE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0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E8"/>
    <w:rPr>
      <w:rFonts w:ascii="Tahoma" w:hAnsi="Tahoma" w:cs="Tahoma"/>
      <w:sz w:val="16"/>
      <w:szCs w:val="16"/>
    </w:rPr>
  </w:style>
  <w:style w:type="paragraph" w:customStyle="1" w:styleId="15">
    <w:name w:val="Стиль15"/>
    <w:basedOn w:val="a"/>
    <w:qFormat/>
    <w:rsid w:val="005800E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120</cp:revision>
  <dcterms:created xsi:type="dcterms:W3CDTF">2018-08-21T13:40:00Z</dcterms:created>
  <dcterms:modified xsi:type="dcterms:W3CDTF">2018-09-09T22:15:00Z</dcterms:modified>
</cp:coreProperties>
</file>